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9C96" w14:textId="2D098839" w:rsidR="00F127E0" w:rsidRPr="00F127E0" w:rsidRDefault="00F127E0" w:rsidP="00F127E0">
      <w:pPr>
        <w:ind w:left="720"/>
        <w:rPr>
          <w:rFonts w:asciiTheme="majorHAnsi" w:hAnsiTheme="majorHAnsi" w:cstheme="majorHAnsi"/>
        </w:rPr>
      </w:pPr>
      <w:r w:rsidRPr="0007011F">
        <w:rPr>
          <w:rFonts w:asciiTheme="majorHAnsi" w:hAnsiTheme="majorHAnsi" w:cstheme="majorHAnsi"/>
        </w:rPr>
        <w:t>Ribot, Jesse. 2021. “Representation, citizenship and the public domain: choice and recognition in natural resource decentralization.” Ch. 27 in Crawford Young and Abdul-</w:t>
      </w:r>
      <w:proofErr w:type="spellStart"/>
      <w:r w:rsidRPr="0007011F">
        <w:rPr>
          <w:rFonts w:asciiTheme="majorHAnsi" w:hAnsiTheme="majorHAnsi" w:cstheme="majorHAnsi"/>
        </w:rPr>
        <w:t>Gafaru</w:t>
      </w:r>
      <w:proofErr w:type="spellEnd"/>
      <w:r w:rsidRPr="0007011F">
        <w:rPr>
          <w:rFonts w:asciiTheme="majorHAnsi" w:hAnsiTheme="majorHAnsi" w:cstheme="majorHAnsi"/>
        </w:rPr>
        <w:t xml:space="preserve"> </w:t>
      </w:r>
      <w:proofErr w:type="spellStart"/>
      <w:r w:rsidRPr="0007011F">
        <w:rPr>
          <w:rFonts w:asciiTheme="majorHAnsi" w:hAnsiTheme="majorHAnsi" w:cstheme="majorHAnsi"/>
        </w:rPr>
        <w:t>Abdulai</w:t>
      </w:r>
      <w:proofErr w:type="spellEnd"/>
      <w:r w:rsidRPr="0007011F">
        <w:rPr>
          <w:rFonts w:asciiTheme="majorHAnsi" w:hAnsiTheme="majorHAnsi" w:cstheme="majorHAnsi"/>
        </w:rPr>
        <w:t xml:space="preserve"> (eds.) </w:t>
      </w:r>
      <w:r w:rsidRPr="0007011F">
        <w:rPr>
          <w:rFonts w:asciiTheme="majorHAnsi" w:hAnsiTheme="majorHAnsi" w:cstheme="majorHAnsi"/>
          <w:i/>
          <w:iCs/>
        </w:rPr>
        <w:t xml:space="preserve">Research Handbook on Democracy and Development. </w:t>
      </w:r>
      <w:r w:rsidRPr="0007011F">
        <w:rPr>
          <w:rFonts w:asciiTheme="majorHAnsi" w:hAnsiTheme="majorHAnsi" w:cstheme="majorHAnsi"/>
        </w:rPr>
        <w:t xml:space="preserve">Cheltenham: Edward Elgar. </w:t>
      </w:r>
    </w:p>
    <w:p w14:paraId="0DDF9B22" w14:textId="7F14D6CE" w:rsidR="00771F89" w:rsidRPr="00C14D50" w:rsidRDefault="002E4992" w:rsidP="00C14D50">
      <w:pPr>
        <w:pStyle w:val="Heading1"/>
        <w:spacing w:line="360" w:lineRule="auto"/>
        <w:ind w:firstLine="0"/>
        <w:jc w:val="left"/>
        <w:rPr>
          <w:rFonts w:ascii="Times New Roman" w:hAnsi="Times New Roman" w:cs="Times New Roman"/>
          <w:sz w:val="24"/>
        </w:rPr>
      </w:pPr>
      <w:r>
        <w:rPr>
          <w:rFonts w:ascii="Times New Roman" w:hAnsi="Times New Roman" w:cs="Times New Roman"/>
          <w:sz w:val="24"/>
        </w:rPr>
        <w:t>Chapter 27</w:t>
      </w:r>
    </w:p>
    <w:p w14:paraId="564F0FE3" w14:textId="77777777" w:rsidR="00771F89" w:rsidRPr="00C14D50" w:rsidRDefault="00771F89" w:rsidP="00C14D50">
      <w:pPr>
        <w:pStyle w:val="Heading1"/>
        <w:spacing w:line="360" w:lineRule="auto"/>
        <w:ind w:firstLine="0"/>
        <w:jc w:val="left"/>
        <w:rPr>
          <w:rFonts w:ascii="Times New Roman" w:hAnsi="Times New Roman" w:cs="Times New Roman"/>
          <w:sz w:val="24"/>
        </w:rPr>
      </w:pPr>
      <w:r w:rsidRPr="00C14D50">
        <w:rPr>
          <w:rFonts w:ascii="Times New Roman" w:hAnsi="Times New Roman" w:cs="Times New Roman"/>
          <w:sz w:val="24"/>
        </w:rPr>
        <w:t>Representation, citizenship and the public domain: Choice and recognition in natural resource decentralization</w:t>
      </w:r>
    </w:p>
    <w:p w14:paraId="32215B92" w14:textId="286E424C" w:rsidR="00771F89" w:rsidRDefault="00771F89" w:rsidP="00C14D50">
      <w:pPr>
        <w:spacing w:line="360" w:lineRule="auto"/>
        <w:rPr>
          <w:b/>
          <w:sz w:val="24"/>
          <w:szCs w:val="24"/>
        </w:rPr>
      </w:pPr>
      <w:r w:rsidRPr="00C14D50">
        <w:rPr>
          <w:b/>
          <w:sz w:val="24"/>
          <w:szCs w:val="24"/>
        </w:rPr>
        <w:t>Jesse Ribot</w:t>
      </w:r>
    </w:p>
    <w:p w14:paraId="482D3755" w14:textId="77777777" w:rsidR="003460D6" w:rsidRDefault="003460D6" w:rsidP="003460D6">
      <w:pPr>
        <w:spacing w:before="100" w:beforeAutospacing="1" w:after="100" w:afterAutospacing="1"/>
        <w:rPr>
          <w:lang w:val="en-US" w:eastAsia="en-GB"/>
        </w:rPr>
      </w:pPr>
      <w:r>
        <w:rPr>
          <w:lang w:val="en-US"/>
        </w:rPr>
        <w:t xml:space="preserve">Ribot. J., ‘Representation, Citizenship and the Public Domain: Choice and Recognition in Democratic Decentralization’, Ch. 4 pp. 93-120 in Joakim </w:t>
      </w:r>
      <w:proofErr w:type="spellStart"/>
      <w:r>
        <w:rPr>
          <w:lang w:val="en-US"/>
        </w:rPr>
        <w:t>Öjendal</w:t>
      </w:r>
      <w:proofErr w:type="spellEnd"/>
      <w:r>
        <w:rPr>
          <w:lang w:val="en-US"/>
        </w:rPr>
        <w:t xml:space="preserve"> and Anki </w:t>
      </w:r>
      <w:proofErr w:type="spellStart"/>
      <w:r>
        <w:rPr>
          <w:lang w:val="en-US"/>
        </w:rPr>
        <w:t>Dellnäs</w:t>
      </w:r>
      <w:proofErr w:type="spellEnd"/>
      <w:r>
        <w:rPr>
          <w:i/>
          <w:iCs/>
          <w:lang w:val="en-US"/>
        </w:rPr>
        <w:t> </w:t>
      </w:r>
      <w:r>
        <w:rPr>
          <w:lang w:val="en-US"/>
        </w:rPr>
        <w:t>(eds.), </w:t>
      </w:r>
      <w:r>
        <w:rPr>
          <w:i/>
          <w:iCs/>
          <w:lang w:val="en-US"/>
        </w:rPr>
        <w:t>The Imperative of Good Local Governance: Challenges for the Next Decade of Decentralization</w:t>
      </w:r>
      <w:r>
        <w:rPr>
          <w:lang w:val="en-US"/>
        </w:rPr>
        <w:t xml:space="preserve">. Copyright 2013 by the United Nations University. Published by the United Nations University. Reproduced with the permission of the United Nations University. </w:t>
      </w:r>
    </w:p>
    <w:p w14:paraId="58E6AE14" w14:textId="3ACDABC1" w:rsidR="003460D6" w:rsidRPr="00A8283C" w:rsidRDefault="003460D6" w:rsidP="003460D6">
      <w:pPr>
        <w:rPr>
          <w:rFonts w:ascii="Calibri" w:hAnsi="Calibri"/>
          <w:szCs w:val="24"/>
          <w:shd w:val="clear" w:color="auto" w:fill="FFFFFF"/>
          <w:lang w:val="en-US"/>
        </w:rPr>
      </w:pPr>
    </w:p>
    <w:p w14:paraId="24B12463" w14:textId="77777777" w:rsidR="003460D6" w:rsidRPr="00A8283C" w:rsidRDefault="003460D6" w:rsidP="003460D6">
      <w:pPr>
        <w:rPr>
          <w:rFonts w:ascii="Calibri" w:hAnsi="Calibri"/>
          <w:szCs w:val="24"/>
          <w:shd w:val="clear" w:color="auto" w:fill="FFFFFF"/>
          <w:lang w:val="en-US"/>
        </w:rPr>
      </w:pPr>
      <w:r w:rsidRPr="00A8283C">
        <w:rPr>
          <w:rFonts w:ascii="Calibri" w:hAnsi="Calibri"/>
          <w:szCs w:val="24"/>
          <w:shd w:val="clear" w:color="auto" w:fill="FFFFFF"/>
          <w:lang w:val="en-US"/>
        </w:rPr>
        <w:t xml:space="preserve">This chapter is an </w:t>
      </w:r>
      <w:r>
        <w:rPr>
          <w:rFonts w:ascii="Calibri" w:hAnsi="Calibri"/>
          <w:szCs w:val="24"/>
          <w:shd w:val="clear" w:color="auto" w:fill="FFFFFF"/>
          <w:lang w:val="en-US"/>
        </w:rPr>
        <w:t xml:space="preserve">edited version </w:t>
      </w:r>
      <w:r w:rsidRPr="00A8283C">
        <w:rPr>
          <w:rFonts w:ascii="Calibri" w:hAnsi="Calibri"/>
          <w:szCs w:val="24"/>
          <w:shd w:val="clear" w:color="auto" w:fill="FFFFFF"/>
          <w:lang w:val="en-US"/>
        </w:rPr>
        <w:t xml:space="preserve">of Ribot, Jesse. 2013. “Representation, Citizenship and the Public Domain: Choice and Recognition in Democratic Decentralization.” Ch. 4 in Joakim </w:t>
      </w:r>
      <w:proofErr w:type="spellStart"/>
      <w:r w:rsidRPr="00A8283C">
        <w:rPr>
          <w:rFonts w:ascii="Calibri" w:hAnsi="Calibri"/>
          <w:szCs w:val="24"/>
          <w:shd w:val="clear" w:color="auto" w:fill="FFFFFF"/>
          <w:lang w:val="en-US"/>
        </w:rPr>
        <w:t>Öjendal</w:t>
      </w:r>
      <w:proofErr w:type="spellEnd"/>
      <w:r w:rsidRPr="00A8283C">
        <w:rPr>
          <w:rFonts w:ascii="Calibri" w:hAnsi="Calibri"/>
          <w:szCs w:val="24"/>
          <w:shd w:val="clear" w:color="auto" w:fill="FFFFFF"/>
          <w:lang w:val="en-US"/>
        </w:rPr>
        <w:t xml:space="preserve"> and Anki </w:t>
      </w:r>
      <w:proofErr w:type="spellStart"/>
      <w:proofErr w:type="gramStart"/>
      <w:r w:rsidRPr="00A8283C">
        <w:rPr>
          <w:rFonts w:ascii="Calibri" w:hAnsi="Calibri"/>
          <w:szCs w:val="24"/>
          <w:shd w:val="clear" w:color="auto" w:fill="FFFFFF"/>
          <w:lang w:val="en-US"/>
        </w:rPr>
        <w:t>Dellnäs</w:t>
      </w:r>
      <w:proofErr w:type="spellEnd"/>
      <w:r w:rsidRPr="00A8283C">
        <w:rPr>
          <w:rFonts w:ascii="Calibri" w:hAnsi="Calibri"/>
          <w:i/>
          <w:iCs/>
          <w:szCs w:val="24"/>
          <w:shd w:val="clear" w:color="auto" w:fill="FFFFFF"/>
          <w:lang w:val="en-US"/>
        </w:rPr>
        <w:t xml:space="preserve">  </w:t>
      </w:r>
      <w:r w:rsidRPr="00A8283C">
        <w:rPr>
          <w:rFonts w:ascii="Calibri" w:hAnsi="Calibri"/>
          <w:iCs/>
          <w:szCs w:val="24"/>
          <w:shd w:val="clear" w:color="auto" w:fill="FFFFFF"/>
          <w:lang w:val="en-US"/>
        </w:rPr>
        <w:t>(</w:t>
      </w:r>
      <w:proofErr w:type="gramEnd"/>
      <w:r w:rsidRPr="00A8283C">
        <w:rPr>
          <w:rFonts w:ascii="Calibri" w:hAnsi="Calibri"/>
          <w:iCs/>
          <w:szCs w:val="24"/>
          <w:shd w:val="clear" w:color="auto" w:fill="FFFFFF"/>
          <w:lang w:val="en-US"/>
        </w:rPr>
        <w:t xml:space="preserve">eds.), </w:t>
      </w:r>
      <w:r w:rsidRPr="00A8283C">
        <w:rPr>
          <w:rFonts w:ascii="Calibri" w:hAnsi="Calibri"/>
          <w:i/>
          <w:iCs/>
          <w:szCs w:val="24"/>
          <w:shd w:val="clear" w:color="auto" w:fill="FFFFFF"/>
          <w:lang w:val="en-US"/>
        </w:rPr>
        <w:t>The Imperative of Good Local Governance: Challenges for the Next Decade of Decentralization</w:t>
      </w:r>
      <w:r w:rsidRPr="00A8283C">
        <w:rPr>
          <w:rFonts w:ascii="Calibri" w:hAnsi="Calibri"/>
          <w:szCs w:val="24"/>
          <w:shd w:val="clear" w:color="auto" w:fill="FFFFFF"/>
          <w:lang w:val="en-US"/>
        </w:rPr>
        <w:t xml:space="preserve">. Tokyo: United Nations University Press.  </w:t>
      </w:r>
      <w:r>
        <w:rPr>
          <w:rFonts w:ascii="Calibri" w:hAnsi="Calibri"/>
          <w:szCs w:val="24"/>
          <w:shd w:val="clear" w:color="auto" w:fill="FFFFFF"/>
          <w:lang w:val="en-US"/>
        </w:rPr>
        <w:t xml:space="preserve">Please consult </w:t>
      </w:r>
      <w:r>
        <w:rPr>
          <w:lang w:val="en-US"/>
        </w:rPr>
        <w:t>the original to obtain the complete argument and references.</w:t>
      </w:r>
    </w:p>
    <w:p w14:paraId="28F21954" w14:textId="77777777" w:rsidR="003460D6" w:rsidRPr="00C14D50" w:rsidRDefault="003460D6" w:rsidP="00C14D50">
      <w:pPr>
        <w:spacing w:line="360" w:lineRule="auto"/>
        <w:rPr>
          <w:b/>
          <w:sz w:val="24"/>
          <w:szCs w:val="24"/>
        </w:rPr>
      </w:pPr>
    </w:p>
    <w:p w14:paraId="44C2BD4A" w14:textId="77777777" w:rsidR="00771F89" w:rsidRPr="00C14D50" w:rsidRDefault="00771F89" w:rsidP="00C14D50">
      <w:pPr>
        <w:spacing w:line="360" w:lineRule="auto"/>
        <w:rPr>
          <w:sz w:val="24"/>
          <w:szCs w:val="24"/>
        </w:rPr>
      </w:pPr>
    </w:p>
    <w:p w14:paraId="7DE4A422" w14:textId="77777777" w:rsidR="00771F89" w:rsidRPr="00C14D50" w:rsidRDefault="00771F89" w:rsidP="00C14D50">
      <w:pPr>
        <w:pStyle w:val="Heading2"/>
        <w:spacing w:before="100" w:beforeAutospacing="1" w:after="100" w:afterAutospacing="1" w:line="360" w:lineRule="auto"/>
        <w:rPr>
          <w:rFonts w:ascii="Times New Roman" w:hAnsi="Times New Roman" w:cs="Times New Roman"/>
          <w:sz w:val="24"/>
          <w:szCs w:val="24"/>
        </w:rPr>
      </w:pPr>
      <w:r w:rsidRPr="00C14D50">
        <w:rPr>
          <w:rFonts w:ascii="Times New Roman" w:hAnsi="Times New Roman" w:cs="Times New Roman"/>
          <w:sz w:val="24"/>
          <w:szCs w:val="24"/>
        </w:rPr>
        <w:t>1. Introduction</w:t>
      </w:r>
    </w:p>
    <w:p w14:paraId="4779ADE7" w14:textId="1C595807" w:rsidR="00D720F5" w:rsidRPr="00C14D50" w:rsidRDefault="00771F89" w:rsidP="00C14D50">
      <w:pPr>
        <w:spacing w:before="100" w:beforeAutospacing="1" w:after="100" w:afterAutospacing="1" w:line="360" w:lineRule="auto"/>
        <w:rPr>
          <w:sz w:val="24"/>
          <w:szCs w:val="24"/>
        </w:rPr>
      </w:pPr>
      <w:r w:rsidRPr="00C14D50">
        <w:rPr>
          <w:sz w:val="24"/>
          <w:szCs w:val="24"/>
        </w:rPr>
        <w:t xml:space="preserve">Elected local governments have been legislated in many countries. But local democracy has rarely been implemented in practice. In some countries, higher-scale intervening agents – central governments, international development agencies, large non-governmental organizations (NGOs) – choose to foster these elected local governments. In most cases, however, such agents disempower elected local governments or avoid them in favour of a plethora of parallel institutions, such as local NGOs, private businesses, local offices of line ministries, customary authorities, religious leaders, project-created committees, or participatory processes disarticulated from legally established elected local institutions. The consequent weakening of elected local government generates a local institutional pluralism in which identity and interest-based forms of inclusion are cultivated over residency-based citizenship. Often the result is that local people cannot demand that their needs and aspirations be served by government – since their elected local government lacks the powers to respond. This choice to empower non-democratic local institutions appears to be fragmenting local communities into competing and conflicting identity and interest groups. </w:t>
      </w:r>
      <w:r w:rsidRPr="00C14D50">
        <w:rPr>
          <w:sz w:val="24"/>
          <w:szCs w:val="24"/>
        </w:rPr>
        <w:lastRenderedPageBreak/>
        <w:t>Through these institutional choices, the ‘public domain’ – that is, the material resources and decisions under public control – is being enclosed and de-secularized.</w:t>
      </w:r>
      <w:r w:rsidR="00D720F5">
        <w:rPr>
          <w:rStyle w:val="EndnoteReference"/>
          <w:sz w:val="24"/>
          <w:szCs w:val="24"/>
        </w:rPr>
        <w:endnoteReference w:id="1"/>
      </w:r>
      <w:r w:rsidR="00D720F5" w:rsidRPr="00C14D50">
        <w:rPr>
          <w:sz w:val="24"/>
          <w:szCs w:val="24"/>
        </w:rPr>
        <w:t xml:space="preserve"> Additionally, citizenship – which I define as the right and ability of people to shape the polities that govern them – is being narrowed.</w:t>
      </w:r>
    </w:p>
    <w:p w14:paraId="22115302"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Substantively, democracy is the accountability of leaders to the people (see Moore, 1997). This requires having leaders with enough discretionary powers to make holding them accountable worthwhile and citizens equipped with the means to hold them to account (Agrawal and Ribot, 1999). One of the </w:t>
      </w:r>
      <w:proofErr w:type="gramStart"/>
      <w:r w:rsidRPr="00C14D50">
        <w:rPr>
          <w:sz w:val="24"/>
          <w:szCs w:val="24"/>
        </w:rPr>
        <w:t>major  challenges</w:t>
      </w:r>
      <w:proofErr w:type="gramEnd"/>
      <w:r w:rsidRPr="00C14D50">
        <w:rPr>
          <w:sz w:val="24"/>
          <w:szCs w:val="24"/>
        </w:rPr>
        <w:t xml:space="preserve"> for building effective local or decentralized democracy is to furnish elected local authorities with sufficient and meaningful discretionary powers to enable them to be responsive to their populations. Meaningful discretion in the hands of leaders will provide local populations with the motivation to engage as citizens. This chapter provides some theoretical background along with case examples aimed at the eventual development of ‘institutional-choice’ guidelines to ensure that government, development agency and large-NGO policy and project interventions support rather than hinder fledgling local democratic government.</w:t>
      </w:r>
      <w:r w:rsidRPr="00C14D50" w:rsidDel="009C5C21">
        <w:rPr>
          <w:sz w:val="24"/>
          <w:szCs w:val="24"/>
        </w:rPr>
        <w:t xml:space="preserve"> </w:t>
      </w:r>
    </w:p>
    <w:p w14:paraId="0DAA3046" w14:textId="77777777" w:rsidR="00D720F5" w:rsidRPr="00C14D50" w:rsidRDefault="00D720F5" w:rsidP="00C14D50">
      <w:pPr>
        <w:spacing w:before="100" w:beforeAutospacing="1" w:after="100" w:afterAutospacing="1" w:line="360" w:lineRule="auto"/>
        <w:rPr>
          <w:sz w:val="24"/>
          <w:szCs w:val="24"/>
          <w:shd w:val="clear" w:color="auto" w:fill="FFFFFF"/>
        </w:rPr>
      </w:pPr>
      <w:r w:rsidRPr="00C14D50">
        <w:rPr>
          <w:sz w:val="24"/>
          <w:szCs w:val="24"/>
          <w:shd w:val="clear" w:color="auto" w:fill="FFFFFF"/>
          <w:lang w:val="en-US"/>
        </w:rPr>
        <w:t xml:space="preserve">While this chapter is about local democracy in general, it provides examples from decentralized decision making over natural resource use, especially </w:t>
      </w:r>
      <w:r w:rsidRPr="00C14D50">
        <w:rPr>
          <w:sz w:val="24"/>
          <w:szCs w:val="24"/>
        </w:rPr>
        <w:t>in the forestry sector</w:t>
      </w:r>
      <w:r w:rsidRPr="00C14D50">
        <w:rPr>
          <w:sz w:val="24"/>
          <w:szCs w:val="24"/>
          <w:shd w:val="clear" w:color="auto" w:fill="FFFFFF"/>
          <w:lang w:val="en-US"/>
        </w:rPr>
        <w:t xml:space="preserve">. Natural resources provide a sharp lens into local democracy because, unlike other sectors where standard cookie-cutter practices can be more readily set, the environment varies enormously across time and space, thus requiring continuous attention to local context and the tailoring of interventions to the local situation. This place-based specificity requires local-local and local-national negotiated decisions about environmental use, preservation, and management. Further, rural districts generally depend on natural resources – land, forests, pastures, lakes and rivers – for subsistence and market production. Therefore, these resources are an important part of the public domain over which elected local authorities decide, and in which citizens can engage with representatives. </w:t>
      </w:r>
      <w:proofErr w:type="gramStart"/>
      <w:r w:rsidRPr="00C14D50">
        <w:rPr>
          <w:sz w:val="24"/>
          <w:szCs w:val="24"/>
          <w:shd w:val="clear" w:color="auto" w:fill="FFFFFF"/>
          <w:lang w:val="en-US"/>
        </w:rPr>
        <w:t>Thus</w:t>
      </w:r>
      <w:proofErr w:type="gramEnd"/>
      <w:r w:rsidRPr="00C14D50">
        <w:rPr>
          <w:sz w:val="24"/>
          <w:szCs w:val="24"/>
          <w:shd w:val="clear" w:color="auto" w:fill="FFFFFF"/>
          <w:lang w:val="en-US"/>
        </w:rPr>
        <w:t xml:space="preserve"> it matters that every user – institution or individual – engage with representative local governments about natural (and any other) resources used in their districts. To be responsive and worth engaging, it matters more generally that elected local governments have sufficient discretion over their ensemble of powers (executive, legislative and judicial</w:t>
      </w:r>
      <w:proofErr w:type="gramStart"/>
      <w:r w:rsidRPr="00C14D50">
        <w:rPr>
          <w:sz w:val="24"/>
          <w:szCs w:val="24"/>
          <w:shd w:val="clear" w:color="auto" w:fill="FFFFFF"/>
          <w:lang w:val="en-US"/>
        </w:rPr>
        <w:t>) ,</w:t>
      </w:r>
      <w:proofErr w:type="gramEnd"/>
      <w:r w:rsidRPr="00C14D50">
        <w:rPr>
          <w:sz w:val="24"/>
          <w:szCs w:val="24"/>
          <w:shd w:val="clear" w:color="auto" w:fill="FFFFFF"/>
          <w:lang w:val="en-US"/>
        </w:rPr>
        <w:t xml:space="preserve"> rather than having earmarked budgets or functions commandeered by higher authorities.</w:t>
      </w:r>
    </w:p>
    <w:p w14:paraId="550A97EA" w14:textId="77777777" w:rsidR="00D720F5" w:rsidRPr="00C14D50" w:rsidRDefault="00D720F5" w:rsidP="00C14D50">
      <w:pPr>
        <w:spacing w:before="100" w:beforeAutospacing="1" w:after="100" w:afterAutospacing="1" w:line="360" w:lineRule="auto"/>
        <w:rPr>
          <w:sz w:val="24"/>
          <w:szCs w:val="24"/>
        </w:rPr>
      </w:pPr>
      <w:r w:rsidRPr="00C14D50">
        <w:rPr>
          <w:sz w:val="24"/>
          <w:szCs w:val="24"/>
        </w:rPr>
        <w:lastRenderedPageBreak/>
        <w:t>The choice by higher-scale intervening agents over the local institutions to partner with and empower shapes three key dimensions of local democracy – representation, citizenship and the public domain. This chapter explores the origins and effects on local democracy of the power transfers to an emerging mix of local institutions. In particular, it focuses on transfers and non-transfers by sectorial bodies and the instrumental programmes of states and other intervening organizations. I argue that: (</w:t>
      </w:r>
      <w:proofErr w:type="spellStart"/>
      <w:r w:rsidRPr="00C14D50">
        <w:rPr>
          <w:sz w:val="24"/>
          <w:szCs w:val="24"/>
        </w:rPr>
        <w:t>i</w:t>
      </w:r>
      <w:proofErr w:type="spellEnd"/>
      <w:r w:rsidRPr="00C14D50">
        <w:rPr>
          <w:sz w:val="24"/>
          <w:szCs w:val="24"/>
        </w:rPr>
        <w:t>) these sectorial powers are more important than the fiscal transfers on which analysts of decentralization tend to focus; (ii) transfers being made rarely create discretionary spaces under representative authorities; and (iii) without discretionary power in the hands of representative local authorities there is no representation or citizenship, no local democracy, and no reason for local people to engage as citizens.</w:t>
      </w:r>
    </w:p>
    <w:p w14:paraId="1272C57A"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The theoretical framing of this chapter is based on what I call the </w:t>
      </w:r>
      <w:r w:rsidRPr="00C14D50">
        <w:rPr>
          <w:i/>
          <w:sz w:val="24"/>
          <w:szCs w:val="24"/>
        </w:rPr>
        <w:t>Choice and Recognition</w:t>
      </w:r>
      <w:r w:rsidRPr="00C14D50">
        <w:rPr>
          <w:sz w:val="24"/>
          <w:szCs w:val="24"/>
        </w:rPr>
        <w:t xml:space="preserve"> framework (Ribot 2003, 2007). It addresses a) the logic behind local institutional choices and b) the effects on local democracy of choosing or “recognizing” different kinds of local authorities under what are called “decentralization reforms.” “Institutional choice” (a term I am taking back from the new institutional economics) refers to the choice of the locus of authority (actors or institutions). I use the term “choice” to attribute agency and therefore responsibility to government and international organizations for their actions. Governments and international organizations manifest their choice of local authorities by transferring powers to them, conducting joint activities or soliciting their input. Through their choices, they transform the local institutional landscape.</w:t>
      </w:r>
    </w:p>
    <w:p w14:paraId="580E8826"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I use the term ‘recognition’ from the literature on identity politics and multiculturalism (see Taylor, 1994; Fraser, 2000; </w:t>
      </w:r>
      <w:proofErr w:type="spellStart"/>
      <w:r w:rsidRPr="00C14D50">
        <w:rPr>
          <w:sz w:val="24"/>
          <w:szCs w:val="24"/>
        </w:rPr>
        <w:t>Kymlicka</w:t>
      </w:r>
      <w:proofErr w:type="spellEnd"/>
      <w:r w:rsidRPr="00C14D50">
        <w:rPr>
          <w:sz w:val="24"/>
          <w:szCs w:val="24"/>
        </w:rPr>
        <w:t xml:space="preserve">, 2002). In that literature, recognition </w:t>
      </w:r>
      <w:proofErr w:type="gramStart"/>
      <w:r w:rsidRPr="00C14D50">
        <w:rPr>
          <w:sz w:val="24"/>
          <w:szCs w:val="24"/>
        </w:rPr>
        <w:t>denotes  affirming</w:t>
      </w:r>
      <w:proofErr w:type="gramEnd"/>
      <w:r w:rsidRPr="00C14D50">
        <w:rPr>
          <w:sz w:val="24"/>
          <w:szCs w:val="24"/>
        </w:rPr>
        <w:t xml:space="preserve"> and thus empowering recognized identities. The opposite of this is </w:t>
      </w:r>
      <w:r w:rsidRPr="00C14D50">
        <w:rPr>
          <w:i/>
          <w:sz w:val="24"/>
          <w:szCs w:val="24"/>
        </w:rPr>
        <w:t>misrecognition</w:t>
      </w:r>
      <w:r w:rsidRPr="00C14D50">
        <w:rPr>
          <w:sz w:val="24"/>
          <w:szCs w:val="24"/>
        </w:rPr>
        <w:t xml:space="preserve"> (</w:t>
      </w:r>
      <w:proofErr w:type="gramStart"/>
      <w:r w:rsidRPr="00C14D50">
        <w:rPr>
          <w:sz w:val="24"/>
          <w:szCs w:val="24"/>
        </w:rPr>
        <w:t>i.e.</w:t>
      </w:r>
      <w:proofErr w:type="gramEnd"/>
      <w:r w:rsidRPr="00C14D50">
        <w:rPr>
          <w:sz w:val="24"/>
          <w:szCs w:val="24"/>
        </w:rPr>
        <w:t xml:space="preserve"> when negative attributes are applied to categories of people) which can have a negative and disempowering effect (see Faye 2015a). I apply ‘recognition’ to authorities and institutions rather than to individuals or their cultures and identity groups in order to show how acknowledgement affirms and empowers – and transforms – institutional hierarchies. Recognition of a particular mix of institutions has effects. The chosen, or recognized, mix of local authorities shapes representation, citizenship and the public domain. Different forms of local authority imply different development and equity outcomes. Knowing why particular choices are being made helps to relate their outcomes back to the project and policy design process. Understanding their effects helps to identify approaches most likely to strengthen </w:t>
      </w:r>
      <w:r w:rsidRPr="00C14D50">
        <w:rPr>
          <w:sz w:val="24"/>
          <w:szCs w:val="24"/>
        </w:rPr>
        <w:lastRenderedPageBreak/>
        <w:t xml:space="preserve">local democracy while serving the needs of local people and broader developmental objectives. Using the word ‘choice’ helps us to identify the parties responsible for and capable of creating (or destroying) the conditions for local democracy. </w:t>
      </w:r>
    </w:p>
    <w:p w14:paraId="408A07CD"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The next section sketches the widespread fettering of local governments through choices that fail to recognize local democracy. It is followed by a section on the “politics of choice and recognition”, which serves as the theoretical framework of the Chapter.  and on criteria for examining their effects on local representation and belonging. Illustrations are drawn from the natural resource sector. </w:t>
      </w:r>
    </w:p>
    <w:p w14:paraId="0A5A0FD4" w14:textId="77777777" w:rsidR="00D720F5" w:rsidRPr="00C14D50" w:rsidRDefault="00D720F5" w:rsidP="00C14D50">
      <w:pPr>
        <w:spacing w:before="100" w:beforeAutospacing="1" w:after="100" w:afterAutospacing="1" w:line="360" w:lineRule="auto"/>
        <w:rPr>
          <w:b/>
          <w:sz w:val="24"/>
          <w:szCs w:val="24"/>
        </w:rPr>
      </w:pPr>
      <w:r w:rsidRPr="00C14D50">
        <w:rPr>
          <w:b/>
          <w:sz w:val="24"/>
          <w:szCs w:val="24"/>
        </w:rPr>
        <w:t>2. Possibility via Recognition</w:t>
      </w:r>
    </w:p>
    <w:p w14:paraId="3C1DEF03" w14:textId="77777777" w:rsidR="00D720F5" w:rsidRPr="00C14D50" w:rsidRDefault="00D720F5" w:rsidP="00C14D50">
      <w:pPr>
        <w:spacing w:before="100" w:beforeAutospacing="1" w:after="100" w:afterAutospacing="1" w:line="360" w:lineRule="auto"/>
        <w:rPr>
          <w:sz w:val="24"/>
          <w:szCs w:val="24"/>
          <w:lang w:eastAsia="en-GB"/>
        </w:rPr>
      </w:pPr>
      <w:r w:rsidRPr="00C14D50">
        <w:rPr>
          <w:sz w:val="24"/>
          <w:szCs w:val="24"/>
          <w:lang w:eastAsia="en-GB"/>
        </w:rPr>
        <w:t>The vast majority of studies of democratic decentralization focus on why it is promoted and legislated, or on its effects on service delivery efficiency or equity (</w:t>
      </w:r>
      <w:proofErr w:type="gramStart"/>
      <w:r w:rsidRPr="00C14D50">
        <w:rPr>
          <w:sz w:val="24"/>
          <w:szCs w:val="24"/>
          <w:lang w:eastAsia="en-GB"/>
        </w:rPr>
        <w:t>e.g.</w:t>
      </w:r>
      <w:proofErr w:type="gramEnd"/>
      <w:r w:rsidRPr="00C14D50">
        <w:rPr>
          <w:sz w:val="24"/>
          <w:szCs w:val="24"/>
          <w:lang w:eastAsia="en-GB"/>
        </w:rPr>
        <w:t xml:space="preserve"> Bardhan and </w:t>
      </w:r>
      <w:proofErr w:type="spellStart"/>
      <w:r w:rsidRPr="00C14D50">
        <w:rPr>
          <w:sz w:val="24"/>
          <w:szCs w:val="24"/>
          <w:lang w:eastAsia="en-GB"/>
        </w:rPr>
        <w:t>Mookherjee</w:t>
      </w:r>
      <w:proofErr w:type="spellEnd"/>
      <w:r w:rsidRPr="00C14D50">
        <w:rPr>
          <w:sz w:val="24"/>
          <w:szCs w:val="24"/>
          <w:lang w:eastAsia="en-GB"/>
        </w:rPr>
        <w:t>, 2006). Some scholars are, however, beginning to focus on local democracy outcomes of democratic decentralization (</w:t>
      </w:r>
      <w:proofErr w:type="spellStart"/>
      <w:r w:rsidRPr="00C14D50">
        <w:rPr>
          <w:sz w:val="24"/>
          <w:szCs w:val="24"/>
          <w:lang w:eastAsia="en-GB"/>
        </w:rPr>
        <w:t>Harriss</w:t>
      </w:r>
      <w:proofErr w:type="spellEnd"/>
      <w:r w:rsidRPr="00C14D50">
        <w:rPr>
          <w:sz w:val="24"/>
          <w:szCs w:val="24"/>
          <w:lang w:eastAsia="en-GB"/>
        </w:rPr>
        <w:t xml:space="preserve"> et al., 2004: 4; Ribot et al., 2008; Faye et al., 2018; </w:t>
      </w:r>
      <w:proofErr w:type="spellStart"/>
      <w:r w:rsidRPr="00C14D50">
        <w:rPr>
          <w:sz w:val="24"/>
          <w:szCs w:val="24"/>
          <w:lang w:eastAsia="en-GB"/>
        </w:rPr>
        <w:t>Ece</w:t>
      </w:r>
      <w:proofErr w:type="spellEnd"/>
      <w:r w:rsidRPr="00C14D50">
        <w:rPr>
          <w:sz w:val="24"/>
          <w:szCs w:val="24"/>
          <w:lang w:eastAsia="en-GB"/>
        </w:rPr>
        <w:t xml:space="preserve"> et al., 2017) and some on its role in higher-scale democracy (Chhatre, 2008; Grindle, 2007). Of the many decentralization reforms across the developing world, few are implemented in a manner that could add up to local democracy. “Hence, the benefits predicted by economists, political scientists, and management specialists as consequences of decentralization provide a palette of possibilities, not of realities” (Grindle, 2007: 178). There are, of course, good reasons why it is difficult to establish local democratic authorities (Agrawal and Ribot, 1999; </w:t>
      </w:r>
      <w:proofErr w:type="spellStart"/>
      <w:r w:rsidRPr="00C14D50">
        <w:rPr>
          <w:sz w:val="24"/>
          <w:szCs w:val="24"/>
          <w:lang w:eastAsia="en-GB"/>
        </w:rPr>
        <w:t>Ece</w:t>
      </w:r>
      <w:proofErr w:type="spellEnd"/>
      <w:r w:rsidRPr="00C14D50">
        <w:rPr>
          <w:sz w:val="24"/>
          <w:szCs w:val="24"/>
          <w:lang w:eastAsia="en-GB"/>
        </w:rPr>
        <w:t xml:space="preserve"> et al. 2017). Although there are now many elected local governments in place, they rarely hold the powers (the discretionary resources and freedoms) that would enable them to respond to local needs and aspirations, or that would link local demand for infrastructure and services into a relationship that could be called democratic. </w:t>
      </w:r>
    </w:p>
    <w:p w14:paraId="63672C5D" w14:textId="77777777" w:rsidR="00D720F5" w:rsidRPr="00C14D50" w:rsidRDefault="00D720F5" w:rsidP="00C14D50">
      <w:pPr>
        <w:spacing w:before="100" w:beforeAutospacing="1" w:after="100" w:afterAutospacing="1" w:line="360" w:lineRule="auto"/>
        <w:rPr>
          <w:sz w:val="24"/>
          <w:szCs w:val="24"/>
          <w:lang w:eastAsia="en-GB"/>
        </w:rPr>
      </w:pPr>
      <w:r w:rsidRPr="00C14D50">
        <w:rPr>
          <w:sz w:val="24"/>
          <w:szCs w:val="24"/>
          <w:lang w:eastAsia="en-GB"/>
        </w:rPr>
        <w:t xml:space="preserve">Local democracy forms and crystallizes around meaningful discretionary powers. As Grindle (2007: 17) found in Mexico, although constrained, local arena political competition was growing and significant and political competition had grown around the new resources provided under decentralization. In her study, civil society was able to organize, make demands for investments and receive responses from local government (2007: 125–127). In general, however, local democracy is limited by the lack of resources and poor downward accountability. In natural resource sector decentralizations, Ribot (2004) found in a 15-country comparative study that local actors either hold significant powers but are not </w:t>
      </w:r>
      <w:r w:rsidRPr="00C14D50">
        <w:rPr>
          <w:sz w:val="24"/>
          <w:szCs w:val="24"/>
          <w:lang w:eastAsia="en-GB"/>
        </w:rPr>
        <w:lastRenderedPageBreak/>
        <w:t>democratic, or they are accountable to their population but hold no significant powers. Similar results were found in a 13-country study of the role of local government carbon forestry and climate adaptation interventions (</w:t>
      </w:r>
      <w:proofErr w:type="spellStart"/>
      <w:r w:rsidRPr="00C14D50">
        <w:rPr>
          <w:sz w:val="24"/>
          <w:szCs w:val="24"/>
          <w:lang w:eastAsia="en-GB"/>
        </w:rPr>
        <w:t>Ece</w:t>
      </w:r>
      <w:proofErr w:type="spellEnd"/>
      <w:r w:rsidRPr="00C14D50">
        <w:rPr>
          <w:sz w:val="24"/>
          <w:szCs w:val="24"/>
          <w:lang w:eastAsia="en-GB"/>
        </w:rPr>
        <w:t xml:space="preserve"> et al. 2017). Neither power without downward accountability nor accountability without powers can be labelled democratic.</w:t>
      </w:r>
    </w:p>
    <w:p w14:paraId="081DE9AB" w14:textId="77777777" w:rsidR="00D720F5" w:rsidRPr="00C14D50" w:rsidRDefault="00D720F5" w:rsidP="00C14D50">
      <w:pPr>
        <w:spacing w:before="100" w:beforeAutospacing="1" w:after="100" w:afterAutospacing="1" w:line="360" w:lineRule="auto"/>
        <w:rPr>
          <w:sz w:val="24"/>
          <w:szCs w:val="24"/>
          <w:lang w:eastAsia="en-GB"/>
        </w:rPr>
      </w:pPr>
      <w:r w:rsidRPr="00C14D50">
        <w:rPr>
          <w:sz w:val="24"/>
          <w:szCs w:val="24"/>
          <w:lang w:eastAsia="en-GB"/>
        </w:rPr>
        <w:t xml:space="preserve">Many battles take place over whether to decentralize, how to structure new decentralized local governments, and what powers to transfer to them. A lot of attention is focused on fiscal transfers from central government – how much and with what stipulations. Yet new fledgling local elected governments are imbued with or starved of powers through decisions made elsewhere. The allocation of the most significant powers is often exercised by sectorial ministries, donors and well-funded NGOs. These institutions allocate or withhold important powers, such as the power to decide who has access to resources and markets, who has labour opportunities, who receives training and who gets construction contracts. Transfers made by line ministries and other higher-level intervening institutions are extremely important and largely ignored by analysts of decentralization owing to their focus on fiscal transfers. Line ministries often withhold powers from elected local governments, often they work with or allocate powers to parallel institutions. They regularly use technical arguments – that expertise is required for the exercise of authority over their sectors – to retain powers or to allocate them to institutions they can control (Faye 2015b).  </w:t>
      </w:r>
    </w:p>
    <w:p w14:paraId="7E99FE96" w14:textId="602A37B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Transfers to non-government bodies, which often take place in the name of decentralization, are not decentralization. They should be labelled as privatization, participatory or empowerment approaches, NGO and civil society support, social funds or community-driven development (Pritchett and Woolcock, 2004; Ribot, 2003). Each approach empowers different kinds of local institutions or authorities, with potentially different democratic and distributional outcomes. Because of support for and proliferation of local institutional forms, fledgling democratic local governments often receive few public resources or powers and must compete with a plethora of new local institutions (Manor, 2004; </w:t>
      </w:r>
      <w:proofErr w:type="spellStart"/>
      <w:r w:rsidRPr="00C14D50">
        <w:rPr>
          <w:sz w:val="24"/>
          <w:szCs w:val="24"/>
        </w:rPr>
        <w:t>Namara</w:t>
      </w:r>
      <w:proofErr w:type="spellEnd"/>
      <w:r w:rsidRPr="00C14D50">
        <w:rPr>
          <w:sz w:val="24"/>
          <w:szCs w:val="24"/>
        </w:rPr>
        <w:t xml:space="preserve"> and </w:t>
      </w:r>
      <w:proofErr w:type="spellStart"/>
      <w:r w:rsidRPr="00C14D50">
        <w:rPr>
          <w:sz w:val="24"/>
          <w:szCs w:val="24"/>
        </w:rPr>
        <w:t>Nsabagasani</w:t>
      </w:r>
      <w:proofErr w:type="spellEnd"/>
      <w:r w:rsidRPr="00C14D50">
        <w:rPr>
          <w:sz w:val="24"/>
          <w:szCs w:val="24"/>
        </w:rPr>
        <w:t xml:space="preserve">, 2003; Poteete, 2007: 16). Democratic local government is rarely given the means – discretionary authority, technical support, equipment or finances – to represent or to engage local people in public affairs (Crook and Manor, 1998; Ribot, 2003). Numerous cases in natural resource management illustrate this kind of local government fettering (see </w:t>
      </w:r>
      <w:proofErr w:type="spellStart"/>
      <w:r w:rsidRPr="00C14D50">
        <w:rPr>
          <w:sz w:val="24"/>
          <w:szCs w:val="24"/>
        </w:rPr>
        <w:t>Bandiaky</w:t>
      </w:r>
      <w:proofErr w:type="spellEnd"/>
      <w:r w:rsidRPr="00C14D50">
        <w:rPr>
          <w:sz w:val="24"/>
          <w:szCs w:val="24"/>
        </w:rPr>
        <w:t xml:space="preserve">, 2008; Hara, 2008; Ribot and </w:t>
      </w:r>
      <w:proofErr w:type="spellStart"/>
      <w:r w:rsidRPr="00C14D50">
        <w:rPr>
          <w:sz w:val="24"/>
          <w:szCs w:val="24"/>
        </w:rPr>
        <w:t>Oyono</w:t>
      </w:r>
      <w:proofErr w:type="spellEnd"/>
      <w:r w:rsidRPr="00C14D50">
        <w:rPr>
          <w:sz w:val="24"/>
          <w:szCs w:val="24"/>
        </w:rPr>
        <w:t xml:space="preserve">, 2005; Toni, 2007; </w:t>
      </w:r>
      <w:proofErr w:type="spellStart"/>
      <w:r w:rsidRPr="00C14D50">
        <w:rPr>
          <w:sz w:val="24"/>
          <w:szCs w:val="24"/>
        </w:rPr>
        <w:t>Xiaoyi</w:t>
      </w:r>
      <w:proofErr w:type="spellEnd"/>
      <w:r w:rsidRPr="00C14D50">
        <w:rPr>
          <w:sz w:val="24"/>
          <w:szCs w:val="24"/>
        </w:rPr>
        <w:t>, 2007),</w:t>
      </w:r>
      <w:r>
        <w:rPr>
          <w:rStyle w:val="EndnoteReference"/>
          <w:sz w:val="24"/>
          <w:szCs w:val="24"/>
        </w:rPr>
        <w:endnoteReference w:id="2"/>
      </w:r>
      <w:r w:rsidRPr="00C14D50">
        <w:rPr>
          <w:sz w:val="24"/>
          <w:szCs w:val="24"/>
        </w:rPr>
        <w:t xml:space="preserve"> while a few </w:t>
      </w:r>
      <w:proofErr w:type="gramStart"/>
      <w:r w:rsidRPr="00C14D50">
        <w:rPr>
          <w:sz w:val="24"/>
          <w:szCs w:val="24"/>
        </w:rPr>
        <w:t>show</w:t>
      </w:r>
      <w:proofErr w:type="gramEnd"/>
      <w:r w:rsidRPr="00C14D50">
        <w:rPr>
          <w:sz w:val="24"/>
          <w:szCs w:val="24"/>
        </w:rPr>
        <w:t xml:space="preserve"> that central government or external actors have successfully – even if not </w:t>
      </w:r>
      <w:r w:rsidRPr="00C14D50">
        <w:rPr>
          <w:sz w:val="24"/>
          <w:szCs w:val="24"/>
        </w:rPr>
        <w:lastRenderedPageBreak/>
        <w:t xml:space="preserve">wholeheartedly – promoted greater local representation (Chhatre, 2008; Grindle, 2007: 176; Ito, 2007; Lankina, 2008; Larson, 2008). Most elected local governments are fettered by a lack of recognition from above that makes them irrelevant from below. </w:t>
      </w:r>
    </w:p>
    <w:p w14:paraId="74C8CCE8" w14:textId="4D78D229" w:rsidR="00D720F5" w:rsidRPr="00C14D50" w:rsidRDefault="00D720F5" w:rsidP="00C14D50">
      <w:pPr>
        <w:spacing w:before="100" w:beforeAutospacing="1" w:after="100" w:afterAutospacing="1" w:line="360" w:lineRule="auto"/>
        <w:rPr>
          <w:sz w:val="24"/>
          <w:szCs w:val="24"/>
        </w:rPr>
      </w:pPr>
      <w:r w:rsidRPr="00C14D50">
        <w:rPr>
          <w:sz w:val="24"/>
          <w:szCs w:val="24"/>
        </w:rPr>
        <w:t>Recognition is key. Individuals and groups seek recognition (in the sense of acknowledgement); similarly, leaders and their institutions seek to be recognized in the numerous arenas in which they operate.</w:t>
      </w:r>
      <w:r>
        <w:rPr>
          <w:rStyle w:val="EndnoteReference"/>
          <w:sz w:val="24"/>
          <w:szCs w:val="24"/>
        </w:rPr>
        <w:endnoteReference w:id="3"/>
      </w:r>
      <w:r w:rsidRPr="00C14D50">
        <w:rPr>
          <w:sz w:val="24"/>
          <w:szCs w:val="24"/>
        </w:rPr>
        <w:t xml:space="preserve"> The “politics of recognition” literature (starting with Taylor, 1994) provides a framework for exploring the means and effects of one actor recognizing another.  This recognition can be consummated through transfers of some form of power to a given authority or individual. The relationship established by such a transfer does not just affect the binary relationship between the higher-level actors and sub-national authorities. The state, donors or international NGOs recognize and are recognized by the local actors they seek to partner with or empower – in a kind of “contract” that links authority and authority (Sikor and Lund, 2009: 1). That act of mutual recognition and the sharing or transfer of power – or even the harnessing of these actors as extensions of the state, donors or international agencies – subsequently reshapes the relationship between the empowered actors and the populations they interact with or whom they dominate and rule (for example, the “dual mandate” of Lugard, 1926; </w:t>
      </w:r>
      <w:proofErr w:type="spellStart"/>
      <w:r w:rsidRPr="00C14D50">
        <w:rPr>
          <w:sz w:val="24"/>
          <w:szCs w:val="24"/>
        </w:rPr>
        <w:t>Chanock</w:t>
      </w:r>
      <w:proofErr w:type="spellEnd"/>
      <w:r w:rsidRPr="00C14D50">
        <w:rPr>
          <w:sz w:val="24"/>
          <w:szCs w:val="24"/>
        </w:rPr>
        <w:t xml:space="preserve">, 1991). </w:t>
      </w:r>
    </w:p>
    <w:p w14:paraId="5669C968" w14:textId="61FE31EC" w:rsidR="00D720F5" w:rsidRPr="00C14D50" w:rsidRDefault="00D720F5" w:rsidP="00C14D50">
      <w:pPr>
        <w:spacing w:before="100" w:beforeAutospacing="1" w:after="100" w:afterAutospacing="1" w:line="360" w:lineRule="auto"/>
        <w:rPr>
          <w:sz w:val="24"/>
          <w:szCs w:val="24"/>
        </w:rPr>
      </w:pPr>
      <w:r w:rsidRPr="00C14D50">
        <w:rPr>
          <w:sz w:val="24"/>
          <w:szCs w:val="24"/>
        </w:rPr>
        <w:t>States and national and international institutions are constantly engaged in recognizing new and existing authorities around the world – creating, strengthening and weakening them. In the process, they are producing and destroying different forms of authority and those authorities’ reign over their constituent populations. Such recognition is at the heart of reforms called ‘decentralization’. The recognition literature provides some insights into the effects of choices on the authorities they recognize. To leverage these insights, I shift the focus of the recognition debates in two ways: (</w:t>
      </w:r>
      <w:proofErr w:type="spellStart"/>
      <w:r w:rsidRPr="00C14D50">
        <w:rPr>
          <w:sz w:val="24"/>
          <w:szCs w:val="24"/>
        </w:rPr>
        <w:t>i</w:t>
      </w:r>
      <w:proofErr w:type="spellEnd"/>
      <w:r w:rsidRPr="00C14D50">
        <w:rPr>
          <w:sz w:val="24"/>
          <w:szCs w:val="24"/>
        </w:rPr>
        <w:t xml:space="preserve">) from the recognition of </w:t>
      </w:r>
      <w:r w:rsidRPr="00C14D50">
        <w:rPr>
          <w:i/>
          <w:sz w:val="24"/>
          <w:szCs w:val="24"/>
        </w:rPr>
        <w:t>culture</w:t>
      </w:r>
      <w:r w:rsidRPr="00C14D50">
        <w:rPr>
          <w:sz w:val="24"/>
          <w:szCs w:val="24"/>
        </w:rPr>
        <w:t xml:space="preserve"> and </w:t>
      </w:r>
      <w:r w:rsidRPr="00C14D50">
        <w:rPr>
          <w:i/>
          <w:sz w:val="24"/>
          <w:szCs w:val="24"/>
        </w:rPr>
        <w:t>identities</w:t>
      </w:r>
      <w:r w:rsidRPr="00C14D50">
        <w:rPr>
          <w:sz w:val="24"/>
          <w:szCs w:val="24"/>
        </w:rPr>
        <w:t xml:space="preserve"> to the recognition of </w:t>
      </w:r>
      <w:r w:rsidRPr="00C14D50">
        <w:rPr>
          <w:i/>
          <w:sz w:val="24"/>
          <w:szCs w:val="24"/>
        </w:rPr>
        <w:t>authority</w:t>
      </w:r>
      <w:r w:rsidRPr="00C14D50">
        <w:rPr>
          <w:sz w:val="24"/>
          <w:szCs w:val="24"/>
        </w:rPr>
        <w:t>, and (ii) from Taylor’s view of recognition as enfranchisement to a more ambiguous view of recognition having positive and negative consequences for democracy.</w:t>
      </w:r>
      <w:r>
        <w:rPr>
          <w:rStyle w:val="EndnoteReference"/>
          <w:sz w:val="24"/>
          <w:szCs w:val="24"/>
        </w:rPr>
        <w:endnoteReference w:id="4"/>
      </w:r>
      <w:r w:rsidRPr="00C14D50">
        <w:rPr>
          <w:sz w:val="24"/>
          <w:szCs w:val="24"/>
        </w:rPr>
        <w:t xml:space="preserve"> I find that critiques of Taylor’s concept of recognition by Fraser (2000), Markell (2000), Povinelli (2002) and Tully (2000) shed light on the enfranchising and disenfranchising effects of recognizing different kinds of authorities. As shown below, the recognition literature provides conceptual tools for analysing the production of democratic local authority under democracy “decentralization” reforms. </w:t>
      </w:r>
    </w:p>
    <w:p w14:paraId="33606EA1" w14:textId="77777777" w:rsidR="00D720F5" w:rsidRPr="00C14D50" w:rsidRDefault="00D720F5" w:rsidP="00C14D50">
      <w:pPr>
        <w:pStyle w:val="Heading2"/>
        <w:spacing w:before="100" w:beforeAutospacing="1" w:after="100" w:afterAutospacing="1" w:line="360" w:lineRule="auto"/>
        <w:rPr>
          <w:rFonts w:ascii="Times New Roman" w:hAnsi="Times New Roman" w:cs="Times New Roman"/>
          <w:sz w:val="24"/>
          <w:szCs w:val="24"/>
        </w:rPr>
      </w:pPr>
      <w:r w:rsidRPr="00C14D50">
        <w:rPr>
          <w:rFonts w:ascii="Times New Roman" w:hAnsi="Times New Roman" w:cs="Times New Roman"/>
          <w:sz w:val="24"/>
          <w:szCs w:val="24"/>
        </w:rPr>
        <w:lastRenderedPageBreak/>
        <w:t>3. The politics of choice and recognition</w:t>
      </w:r>
    </w:p>
    <w:p w14:paraId="1580D3C8"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This section outlines an analytical framework for evaluating the enfranchising potential of forms of local authority, broken into discussions of the politics of choice and the effects of recognition.</w:t>
      </w:r>
    </w:p>
    <w:p w14:paraId="0A496977" w14:textId="77777777" w:rsidR="00D720F5" w:rsidRPr="00C14D50" w:rsidRDefault="00D720F5" w:rsidP="0042446F">
      <w:pPr>
        <w:pStyle w:val="Heading3"/>
        <w:spacing w:before="100" w:beforeAutospacing="1" w:after="100" w:afterAutospacing="1" w:line="360" w:lineRule="auto"/>
        <w:ind w:firstLine="0"/>
        <w:jc w:val="left"/>
        <w:rPr>
          <w:rFonts w:ascii="Times New Roman" w:hAnsi="Times New Roman" w:cs="Times New Roman"/>
          <w:lang w:eastAsia="en-GB"/>
        </w:rPr>
      </w:pPr>
      <w:r w:rsidRPr="00C14D50">
        <w:rPr>
          <w:rFonts w:ascii="Times New Roman" w:hAnsi="Times New Roman" w:cs="Times New Roman"/>
          <w:lang w:eastAsia="en-GB"/>
        </w:rPr>
        <w:t>3.1 The politics of choice</w:t>
      </w:r>
    </w:p>
    <w:p w14:paraId="3D5FAA7C"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In practice, designers of democratic decentralization are choosing (</w:t>
      </w:r>
      <w:proofErr w:type="spellStart"/>
      <w:r w:rsidRPr="00C14D50">
        <w:rPr>
          <w:sz w:val="24"/>
          <w:szCs w:val="24"/>
        </w:rPr>
        <w:t>i</w:t>
      </w:r>
      <w:proofErr w:type="spellEnd"/>
      <w:r w:rsidRPr="00C14D50">
        <w:rPr>
          <w:sz w:val="24"/>
          <w:szCs w:val="24"/>
        </w:rPr>
        <w:t>) powers to transfer, (ii) means by which to make those transfers and (iii) local institutions (ostensibly democratic local government) to receive powers. Each choice has an effect on the relationship between higher and lower authorities and between those lower-scale recipient authorities and their constituents. It has an effect on whether needs and aspirations are heard and can be responded to. In very few reforms are appropriate and sufficient discretionary powers transferred to local institutions that are not private or dependent on and accountable to higher-scale authorities. In most transfers to elected bodies, few powers of significance are transferred other than mandates – which are often underfunded. Although the choice of powers to transfer and the means of transfer affect local empowerment, I focus on the issue of which local institutional interlocutors are being chosen and why. Power transfers and the inclusion of local institutions in power-sharing or in significant decision-making are viewed as the material means of institutional choice and recognition.</w:t>
      </w:r>
    </w:p>
    <w:p w14:paraId="1A1C2FFD"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Under democratic decentralization reforms, the public justifications for the choices of local institutions vary widely. They include efficiency and equity arguments, democracy arguments, pro-poor agendas, the virtues of civil society, the superiority of community-based and/or indigenous systems and the advantages of direct participation. Lurking beside the public justifications are other interests such as donor pressure, fear of loss of power and authority, fiscal crises, political crises, maintaining privilege or cultivating political constituencies. Understanding the rationale behind institutional choices can shed light on ways to influence decentralization policy processes. Understanding the effects of recognition helps to identify approaches most likely to foster dynamic and articulated local democracy.</w:t>
      </w:r>
    </w:p>
    <w:p w14:paraId="4669C7B0"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There are multiple ways to explain institutional choice. Ostrom (1990) makes a public choice argument that the mix of institutions reflects the aggregate aspirations of individuals maximizing their own good. Bates (1981) shows that political actors select authorities and </w:t>
      </w:r>
      <w:r w:rsidRPr="00C14D50">
        <w:rPr>
          <w:sz w:val="24"/>
          <w:szCs w:val="24"/>
        </w:rPr>
        <w:lastRenderedPageBreak/>
        <w:t xml:space="preserve">institutions to meet their own narrow economic and political interests. </w:t>
      </w:r>
      <w:proofErr w:type="spellStart"/>
      <w:r w:rsidRPr="00C14D50">
        <w:rPr>
          <w:sz w:val="24"/>
          <w:szCs w:val="24"/>
        </w:rPr>
        <w:t>Törnquist</w:t>
      </w:r>
      <w:proofErr w:type="spellEnd"/>
      <w:r w:rsidRPr="00C14D50">
        <w:rPr>
          <w:sz w:val="24"/>
          <w:szCs w:val="24"/>
        </w:rPr>
        <w:t xml:space="preserve"> (2004: 211) notes that local institutional arrangements can be chosen to circumvent party and political clientelism. Some authors show that local institutions have a role in choosing themselves and imposing themselves on emerging opportunities and decision-making processes (Benda-Beckmann and Benda-Beckmann, 2006; Boone, 2003; Eckert, 2006; Gaventa, 2002). Clearly, all of these processes are in play. The ‘choices’ made by these actors may be mere political calculation, as Bates would argue, but they reflect the relations in which they are embedded that generate the motives and intentions of actors.</w:t>
      </w:r>
    </w:p>
    <w:p w14:paraId="247BFB29" w14:textId="6334A9EC" w:rsidR="007A4AE1" w:rsidRPr="00C14D50" w:rsidRDefault="00D720F5" w:rsidP="00C14D50">
      <w:pPr>
        <w:spacing w:before="100" w:beforeAutospacing="1" w:after="100" w:afterAutospacing="1" w:line="360" w:lineRule="auto"/>
        <w:rPr>
          <w:sz w:val="24"/>
          <w:szCs w:val="24"/>
          <w:lang w:eastAsia="en-GB"/>
        </w:rPr>
      </w:pPr>
      <w:r w:rsidRPr="00C14D50">
        <w:rPr>
          <w:sz w:val="24"/>
          <w:szCs w:val="24"/>
          <w:lang w:eastAsia="en-GB"/>
        </w:rPr>
        <w:t>Chhatre (2008), Toni (2007) and Ito (2007) describe how, in India, Brazil and Indonesia respectively, the policies and decisions of higher-level authorities, with or without the influence of local citizens, result in the creation, selection or appointment of specific authorities and/or enable local actors to engage or capture new opportunities</w:t>
      </w:r>
      <w:r w:rsidR="007A4AE1">
        <w:rPr>
          <w:sz w:val="24"/>
          <w:szCs w:val="24"/>
          <w:lang w:eastAsia="en-GB"/>
        </w:rPr>
        <w:t xml:space="preserve"> (also see </w:t>
      </w:r>
      <w:r w:rsidR="007A4AE1" w:rsidRPr="00C14D50">
        <w:rPr>
          <w:sz w:val="24"/>
          <w:szCs w:val="24"/>
          <w:lang w:eastAsia="en-GB"/>
        </w:rPr>
        <w:t>Hara 2008</w:t>
      </w:r>
      <w:r w:rsidR="007A4AE1">
        <w:rPr>
          <w:sz w:val="24"/>
          <w:szCs w:val="24"/>
          <w:lang w:eastAsia="en-GB"/>
        </w:rPr>
        <w:t xml:space="preserve"> on Malawi, not developed here)</w:t>
      </w:r>
      <w:r w:rsidRPr="00C14D50">
        <w:rPr>
          <w:sz w:val="24"/>
          <w:szCs w:val="24"/>
          <w:lang w:eastAsia="en-GB"/>
        </w:rPr>
        <w:t xml:space="preserve">. In Himachal Pradesh, India, legislators chose to work with </w:t>
      </w:r>
      <w:r w:rsidRPr="00C14D50">
        <w:rPr>
          <w:i/>
          <w:sz w:val="24"/>
          <w:szCs w:val="24"/>
          <w:lang w:eastAsia="en-GB"/>
        </w:rPr>
        <w:t>panchayat</w:t>
      </w:r>
      <w:r w:rsidRPr="00C14D50">
        <w:rPr>
          <w:sz w:val="24"/>
          <w:szCs w:val="24"/>
          <w:lang w:eastAsia="en-GB"/>
        </w:rPr>
        <w:t xml:space="preserve">s because local people had opted to use the </w:t>
      </w:r>
      <w:r w:rsidRPr="00C14D50">
        <w:rPr>
          <w:i/>
          <w:sz w:val="24"/>
          <w:szCs w:val="24"/>
          <w:lang w:eastAsia="en-GB"/>
        </w:rPr>
        <w:t>panchayat</w:t>
      </w:r>
      <w:r w:rsidRPr="00C14D50">
        <w:rPr>
          <w:sz w:val="24"/>
          <w:szCs w:val="24"/>
          <w:lang w:eastAsia="en-GB"/>
        </w:rPr>
        <w:t xml:space="preserve">s as a channel to influence the state’s environment minister. Local people chose </w:t>
      </w:r>
      <w:r w:rsidRPr="00C14D50">
        <w:rPr>
          <w:i/>
          <w:sz w:val="24"/>
          <w:szCs w:val="24"/>
          <w:lang w:eastAsia="en-GB"/>
        </w:rPr>
        <w:t>panchayat</w:t>
      </w:r>
      <w:r w:rsidRPr="00C14D50">
        <w:rPr>
          <w:sz w:val="24"/>
          <w:szCs w:val="24"/>
          <w:lang w:eastAsia="en-GB"/>
        </w:rPr>
        <w:t xml:space="preserve">s for their political connections and their emerging powers under decentralization reforms. Chhatre describes this political ‘virtuous circle’ linking people to </w:t>
      </w:r>
      <w:r w:rsidRPr="00C14D50">
        <w:rPr>
          <w:i/>
          <w:sz w:val="24"/>
          <w:szCs w:val="24"/>
          <w:lang w:eastAsia="en-GB"/>
        </w:rPr>
        <w:t>panchayat</w:t>
      </w:r>
      <w:r w:rsidRPr="00C14D50">
        <w:rPr>
          <w:sz w:val="24"/>
          <w:szCs w:val="24"/>
          <w:lang w:eastAsia="en-GB"/>
        </w:rPr>
        <w:t xml:space="preserve">s and </w:t>
      </w:r>
      <w:r w:rsidRPr="00C14D50">
        <w:rPr>
          <w:i/>
          <w:sz w:val="24"/>
          <w:szCs w:val="24"/>
          <w:lang w:eastAsia="en-GB"/>
        </w:rPr>
        <w:t>panchayat</w:t>
      </w:r>
      <w:r w:rsidRPr="00C14D50">
        <w:rPr>
          <w:sz w:val="24"/>
          <w:szCs w:val="24"/>
          <w:lang w:eastAsia="en-GB"/>
        </w:rPr>
        <w:t>s to legislators as ‘political articulation’ (Chhatre, 2008).</w:t>
      </w:r>
    </w:p>
    <w:p w14:paraId="2670C59A"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In Para, Brazil, donors and central government avoided local governments, arguing that local government was dominated by elite interests (such as ranchers and loggers) and were not worth working with. Toni (2007) describes how mayors and councillors were </w:t>
      </w:r>
      <w:proofErr w:type="spellStart"/>
      <w:r w:rsidRPr="00C14D50">
        <w:rPr>
          <w:sz w:val="24"/>
          <w:szCs w:val="24"/>
        </w:rPr>
        <w:t>sidelined</w:t>
      </w:r>
      <w:proofErr w:type="spellEnd"/>
      <w:r w:rsidRPr="00C14D50">
        <w:rPr>
          <w:sz w:val="24"/>
          <w:szCs w:val="24"/>
        </w:rPr>
        <w:t xml:space="preserve"> by donors even in the exceptional localities where candidates from the pro-poor ruling party were elected. Donors’ mistrust of local authorities precluded their working through these bodies; NGOs were given preferential treatment and resources. Although FVPP (</w:t>
      </w:r>
      <w:proofErr w:type="spellStart"/>
      <w:r w:rsidRPr="00C14D50">
        <w:rPr>
          <w:sz w:val="24"/>
          <w:szCs w:val="24"/>
        </w:rPr>
        <w:t>Funda</w:t>
      </w:r>
      <w:r w:rsidRPr="00C14D50">
        <w:rPr>
          <w:bCs/>
          <w:sz w:val="24"/>
          <w:szCs w:val="24"/>
        </w:rPr>
        <w:t>çã</w:t>
      </w:r>
      <w:r w:rsidRPr="00C14D50">
        <w:rPr>
          <w:sz w:val="24"/>
          <w:szCs w:val="24"/>
        </w:rPr>
        <w:t>o</w:t>
      </w:r>
      <w:proofErr w:type="spellEnd"/>
      <w:r w:rsidRPr="00C14D50">
        <w:rPr>
          <w:sz w:val="24"/>
          <w:szCs w:val="24"/>
        </w:rPr>
        <w:t xml:space="preserve"> </w:t>
      </w:r>
      <w:proofErr w:type="spellStart"/>
      <w:r w:rsidRPr="00C14D50">
        <w:rPr>
          <w:sz w:val="24"/>
          <w:szCs w:val="24"/>
        </w:rPr>
        <w:t>Viver</w:t>
      </w:r>
      <w:proofErr w:type="spellEnd"/>
      <w:r w:rsidRPr="00C14D50">
        <w:rPr>
          <w:sz w:val="24"/>
          <w:szCs w:val="24"/>
        </w:rPr>
        <w:t xml:space="preserve">, </w:t>
      </w:r>
      <w:proofErr w:type="spellStart"/>
      <w:r w:rsidRPr="00C14D50">
        <w:rPr>
          <w:sz w:val="24"/>
          <w:szCs w:val="24"/>
        </w:rPr>
        <w:t>Produzir</w:t>
      </w:r>
      <w:proofErr w:type="spellEnd"/>
      <w:r w:rsidRPr="00C14D50">
        <w:rPr>
          <w:sz w:val="24"/>
          <w:szCs w:val="24"/>
        </w:rPr>
        <w:t xml:space="preserve"> e </w:t>
      </w:r>
      <w:proofErr w:type="spellStart"/>
      <w:r w:rsidRPr="00C14D50">
        <w:rPr>
          <w:sz w:val="24"/>
          <w:szCs w:val="24"/>
        </w:rPr>
        <w:t>Preservar</w:t>
      </w:r>
      <w:proofErr w:type="spellEnd"/>
      <w:r w:rsidRPr="00C14D50">
        <w:rPr>
          <w:sz w:val="24"/>
          <w:szCs w:val="24"/>
        </w:rPr>
        <w:t xml:space="preserve">), an NGO representing some 100 grassroots movements, cared about the interests of the poor, Toni questions the degree to which FVPP is a “grassroots” body. He points out that FVPP, which is allied to the ruling party, is used by the government as a “paid service sector” provider and is accountable primarily to bodies within the government (also see </w:t>
      </w:r>
      <w:proofErr w:type="spellStart"/>
      <w:r w:rsidRPr="00C14D50">
        <w:rPr>
          <w:sz w:val="24"/>
          <w:szCs w:val="24"/>
        </w:rPr>
        <w:t>Resosudarmo</w:t>
      </w:r>
      <w:proofErr w:type="spellEnd"/>
      <w:r w:rsidRPr="00C14D50">
        <w:rPr>
          <w:sz w:val="24"/>
          <w:szCs w:val="24"/>
        </w:rPr>
        <w:t>, 2005). Donors choose NGOs, arguing that they want to cultivate civil society and social capital. Toni also shows that the view of the Ministry of the Environment and donors that local governments lack capacity is not reflected in practice in agriculture and forest management.</w:t>
      </w:r>
    </w:p>
    <w:p w14:paraId="4F597498" w14:textId="77777777" w:rsidR="00D720F5" w:rsidRPr="00C14D50" w:rsidRDefault="00D720F5" w:rsidP="00C14D50">
      <w:pPr>
        <w:spacing w:before="100" w:beforeAutospacing="1" w:after="100" w:afterAutospacing="1" w:line="360" w:lineRule="auto"/>
        <w:rPr>
          <w:sz w:val="24"/>
          <w:szCs w:val="24"/>
        </w:rPr>
      </w:pPr>
      <w:r w:rsidRPr="00C14D50">
        <w:rPr>
          <w:sz w:val="24"/>
          <w:szCs w:val="24"/>
        </w:rPr>
        <w:lastRenderedPageBreak/>
        <w:t>In the Bandung district of Java, Indonesia, powers and resources were successfully transferred to popularly elected district governments, opening new opportunities to influence policy and its implementation at the district (</w:t>
      </w:r>
      <w:proofErr w:type="spellStart"/>
      <w:r w:rsidRPr="00C14D50">
        <w:rPr>
          <w:i/>
          <w:iCs/>
          <w:sz w:val="24"/>
          <w:szCs w:val="24"/>
        </w:rPr>
        <w:t>bupati</w:t>
      </w:r>
      <w:proofErr w:type="spellEnd"/>
      <w:r w:rsidRPr="00C14D50">
        <w:rPr>
          <w:sz w:val="24"/>
          <w:szCs w:val="24"/>
        </w:rPr>
        <w:t xml:space="preserve">) level (Ito 2007). There has been a clear opening of space for political competition in which village heads have gained a significant influence in district electoral politics. Despite advances resulting from this decentralization, Ito (2007) shows that the civil society approach to local democracy chosen by the district heads is excluding poor and marginal populations from democratic decision-making. The result is investments that serve elites while ignoring the demands of the poor. The </w:t>
      </w:r>
      <w:proofErr w:type="spellStart"/>
      <w:r w:rsidRPr="00C14D50">
        <w:rPr>
          <w:i/>
          <w:iCs/>
          <w:sz w:val="24"/>
          <w:szCs w:val="24"/>
        </w:rPr>
        <w:t>bupati</w:t>
      </w:r>
      <w:proofErr w:type="spellEnd"/>
      <w:r w:rsidRPr="00C14D50">
        <w:rPr>
          <w:iCs/>
          <w:sz w:val="24"/>
          <w:szCs w:val="24"/>
        </w:rPr>
        <w:t xml:space="preserve"> </w:t>
      </w:r>
      <w:r w:rsidRPr="00C14D50">
        <w:rPr>
          <w:sz w:val="24"/>
          <w:szCs w:val="24"/>
        </w:rPr>
        <w:t xml:space="preserve">and district bureaucrats justify working with elites on grounds of efficiency – getting the work done. Rather than a broad cross-section of civil society working with local government in a voluntaristic and broad-based manner, aligned participants are selected and cultivated. The chosen civil society organizations do not represent a broad cross-section of local society. The alignment of district government with elites reduced public participation, hemming in the public domain by reserving public decisions for a narrow elite. Ito (2007) argues that the stratifying effects of the choices of the </w:t>
      </w:r>
      <w:proofErr w:type="spellStart"/>
      <w:r w:rsidRPr="00C14D50">
        <w:rPr>
          <w:i/>
          <w:iCs/>
          <w:sz w:val="24"/>
          <w:szCs w:val="24"/>
        </w:rPr>
        <w:t>bupati</w:t>
      </w:r>
      <w:proofErr w:type="spellEnd"/>
      <w:r w:rsidRPr="00C14D50">
        <w:rPr>
          <w:iCs/>
          <w:sz w:val="24"/>
          <w:szCs w:val="24"/>
        </w:rPr>
        <w:t xml:space="preserve"> </w:t>
      </w:r>
      <w:r w:rsidRPr="00C14D50">
        <w:rPr>
          <w:sz w:val="24"/>
          <w:szCs w:val="24"/>
        </w:rPr>
        <w:t>were obscured by the positive civil society discourse of international development institutions.</w:t>
      </w:r>
    </w:p>
    <w:p w14:paraId="35DAC848" w14:textId="77777777" w:rsidR="00D720F5" w:rsidRPr="00C14D50" w:rsidRDefault="00D720F5" w:rsidP="00C14D50">
      <w:pPr>
        <w:spacing w:before="100" w:beforeAutospacing="1" w:after="100" w:afterAutospacing="1" w:line="360" w:lineRule="auto"/>
        <w:rPr>
          <w:sz w:val="24"/>
          <w:szCs w:val="24"/>
          <w:lang w:eastAsia="en-GB"/>
        </w:rPr>
      </w:pPr>
      <w:r w:rsidRPr="00C14D50">
        <w:rPr>
          <w:sz w:val="24"/>
          <w:szCs w:val="24"/>
          <w:lang w:eastAsia="en-GB"/>
        </w:rPr>
        <w:t xml:space="preserve">In these cases, local institutions, and the forms of representation, belonging and public space they produce, emerge through policy choices. The dilemmas and choices faced by policy making elites are critical to understanding policy change (Grindle, 2007: 3). Bates’ (1981) notion of “institutional choice” is useful for bringing attention to the motives and actions of the central authorities crafting decentralizations and, in the process, shaping the local institutional landscape. Bates (1981) argues that governments </w:t>
      </w:r>
      <w:r w:rsidRPr="00C14D50">
        <w:rPr>
          <w:i/>
          <w:sz w:val="24"/>
          <w:szCs w:val="24"/>
          <w:lang w:eastAsia="en-GB"/>
        </w:rPr>
        <w:t>choose</w:t>
      </w:r>
      <w:r w:rsidRPr="00C14D50">
        <w:rPr>
          <w:sz w:val="24"/>
          <w:szCs w:val="24"/>
          <w:lang w:eastAsia="en-GB"/>
        </w:rPr>
        <w:t xml:space="preserve"> among policy options based on political utility. For example, they choose to create allocative and rent-seeking opportunities that will help them to consolidate their own political and economic power. Although motives and intentions are driven by relationships, researchers can still follow Bates’ approach. Researchers can unpack the explicitly expressed and implicit logics that actors within governments and international organizations use to “choose” their local interlocutors. </w:t>
      </w:r>
    </w:p>
    <w:p w14:paraId="25423C90"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Recent research on climate-change adaptation and carbon forestry found </w:t>
      </w:r>
      <w:proofErr w:type="gramStart"/>
      <w:r w:rsidRPr="00C14D50">
        <w:rPr>
          <w:sz w:val="24"/>
          <w:szCs w:val="24"/>
        </w:rPr>
        <w:t>that  many</w:t>
      </w:r>
      <w:proofErr w:type="gramEnd"/>
      <w:r w:rsidRPr="00C14D50">
        <w:rPr>
          <w:sz w:val="24"/>
          <w:szCs w:val="24"/>
        </w:rPr>
        <w:t xml:space="preserve"> forestry projects, including the United Nations ‘Reducing Emissions for Deforestation and forest Degradation’ (REDD), choose not to engage with or recognize existing elected local government authorities (</w:t>
      </w:r>
      <w:proofErr w:type="spellStart"/>
      <w:r w:rsidRPr="00C14D50">
        <w:rPr>
          <w:sz w:val="24"/>
          <w:szCs w:val="24"/>
        </w:rPr>
        <w:t>Ece</w:t>
      </w:r>
      <w:proofErr w:type="spellEnd"/>
      <w:r w:rsidRPr="00C14D50">
        <w:rPr>
          <w:sz w:val="24"/>
          <w:szCs w:val="24"/>
        </w:rPr>
        <w:t xml:space="preserve">, Murombedzi and Ribot 2017). Many environmental projects </w:t>
      </w:r>
      <w:r w:rsidRPr="00C14D50">
        <w:rPr>
          <w:sz w:val="24"/>
          <w:szCs w:val="24"/>
        </w:rPr>
        <w:lastRenderedPageBreak/>
        <w:t xml:space="preserve">work with hereditary customary chiefs who may be unaccountable and abuse their powers. Projects often work with project-created local committees even when there is elected local government with jurisdiction over resources. Donors and development agents and other implementing agents and large NGOs often explain that they circumvent local democracy because it is slow, inconvenient or time consuming. Other project implementing agents just speak of democracy but do not implement it in practice; in lieu of democracy, an image of participation and representation is produced and performed. Hence, recognition is important for the wellbeing of local democracy – yet it is a very political environment and the choices being made, including the choice to avoid democracy, are reasoned choices. </w:t>
      </w:r>
    </w:p>
    <w:p w14:paraId="791A21F2"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Forestry and other natural resource implementing agencies and agents tend to privilege their instrumental aims or their projects – such as trees planted or forests cordoned off – over the procedural or representation aims of democracy (Ribot, Chhatre and Lankina 2008). To do so, and for other reasons, it is not a surprise that researchers observe that projects design accountability so that local implementing agents and beneficiaries are upwardly accountable towards the project organizers and institutions rather than downwardly accountable to the people (</w:t>
      </w:r>
      <w:proofErr w:type="spellStart"/>
      <w:r w:rsidRPr="00C14D50">
        <w:rPr>
          <w:sz w:val="24"/>
          <w:szCs w:val="24"/>
        </w:rPr>
        <w:t>Chomba</w:t>
      </w:r>
      <w:proofErr w:type="spellEnd"/>
      <w:r w:rsidRPr="00C14D50">
        <w:rPr>
          <w:sz w:val="24"/>
          <w:szCs w:val="24"/>
        </w:rPr>
        <w:t xml:space="preserve"> 2015a; </w:t>
      </w:r>
      <w:proofErr w:type="spellStart"/>
      <w:r w:rsidRPr="00C14D50">
        <w:rPr>
          <w:sz w:val="24"/>
          <w:szCs w:val="24"/>
        </w:rPr>
        <w:t>Karambiri</w:t>
      </w:r>
      <w:proofErr w:type="spellEnd"/>
      <w:r w:rsidRPr="00C14D50">
        <w:rPr>
          <w:sz w:val="24"/>
          <w:szCs w:val="24"/>
        </w:rPr>
        <w:t xml:space="preserve"> 2015; </w:t>
      </w:r>
      <w:proofErr w:type="spellStart"/>
      <w:r w:rsidRPr="00C14D50">
        <w:rPr>
          <w:sz w:val="24"/>
          <w:szCs w:val="24"/>
        </w:rPr>
        <w:t>Mbeche</w:t>
      </w:r>
      <w:proofErr w:type="spellEnd"/>
      <w:r w:rsidRPr="00C14D50">
        <w:rPr>
          <w:sz w:val="24"/>
          <w:szCs w:val="24"/>
        </w:rPr>
        <w:t xml:space="preserve"> 2015; Adjei 2015). Local democracy can be a threat to projects, such as REDD, that aim to commercialize forests for profit; when projects turn forests into commodities for profit many people will resist profit by few; </w:t>
      </w:r>
      <w:proofErr w:type="gramStart"/>
      <w:r w:rsidRPr="00C14D50">
        <w:rPr>
          <w:sz w:val="24"/>
          <w:szCs w:val="24"/>
        </w:rPr>
        <w:t>so</w:t>
      </w:r>
      <w:proofErr w:type="gramEnd"/>
      <w:r w:rsidRPr="00C14D50">
        <w:rPr>
          <w:sz w:val="24"/>
          <w:szCs w:val="24"/>
        </w:rPr>
        <w:t xml:space="preserve"> to achieve their goals, projects can be motivated to, and often do, circumvent and weaken democracy (Faye 2015a, 2015b). There are certainly many other layers in the motives of central government and other institutions, such as line ministries, for choosing to work with customary authorities or NGOs rather than with the elected local authorities who represent the people. They are all certainly easier to control and manipulate than are elected representatives. These are all part and parcel of the politics of choice. </w:t>
      </w:r>
    </w:p>
    <w:p w14:paraId="7A95459C" w14:textId="77777777" w:rsidR="00D720F5" w:rsidRPr="00C14D50" w:rsidRDefault="00D720F5" w:rsidP="00B66B9B">
      <w:pPr>
        <w:pStyle w:val="Heading3"/>
        <w:spacing w:before="100" w:beforeAutospacing="1" w:after="100" w:afterAutospacing="1" w:line="360" w:lineRule="auto"/>
        <w:ind w:firstLine="0"/>
        <w:jc w:val="left"/>
        <w:rPr>
          <w:rFonts w:ascii="Times New Roman" w:hAnsi="Times New Roman" w:cs="Times New Roman"/>
          <w:lang w:eastAsia="en-GB"/>
        </w:rPr>
      </w:pPr>
      <w:r w:rsidRPr="00C14D50">
        <w:rPr>
          <w:rFonts w:ascii="Times New Roman" w:hAnsi="Times New Roman" w:cs="Times New Roman"/>
          <w:lang w:eastAsia="en-GB"/>
        </w:rPr>
        <w:t>3.2 The effects of recognition and its absence</w:t>
      </w:r>
    </w:p>
    <w:p w14:paraId="4B9C65E3" w14:textId="7B8C5FCB" w:rsidR="00D720F5" w:rsidRPr="00C14D50" w:rsidRDefault="00D720F5" w:rsidP="00C14D50">
      <w:pPr>
        <w:spacing w:before="100" w:beforeAutospacing="1" w:after="100" w:afterAutospacing="1" w:line="360" w:lineRule="auto"/>
        <w:rPr>
          <w:sz w:val="24"/>
          <w:szCs w:val="24"/>
        </w:rPr>
      </w:pPr>
      <w:r w:rsidRPr="00C14D50">
        <w:rPr>
          <w:sz w:val="24"/>
          <w:szCs w:val="24"/>
        </w:rPr>
        <w:t>Governments and international organizations</w:t>
      </w:r>
      <w:r w:rsidRPr="00C14D50" w:rsidDel="00652DC4">
        <w:rPr>
          <w:sz w:val="24"/>
          <w:szCs w:val="24"/>
        </w:rPr>
        <w:t xml:space="preserve"> </w:t>
      </w:r>
      <w:r w:rsidRPr="00C14D50">
        <w:rPr>
          <w:sz w:val="24"/>
          <w:szCs w:val="24"/>
        </w:rPr>
        <w:t>usually emphasize development outcomes when promoting decentralization, and many also give high billing to participation and democracy outcomes. In addition, they often evoke improved environmental management or other sectoral efficiency. But the results of their institutional choices on development, the environment or the emergence and consolidation of local democracy usually differ from the stated objectives or expected outcomes.</w:t>
      </w:r>
      <w:r>
        <w:rPr>
          <w:rStyle w:val="EndnoteReference"/>
          <w:sz w:val="24"/>
          <w:szCs w:val="24"/>
        </w:rPr>
        <w:endnoteReference w:id="5"/>
      </w:r>
      <w:r w:rsidRPr="00C14D50">
        <w:rPr>
          <w:sz w:val="24"/>
          <w:szCs w:val="24"/>
        </w:rPr>
        <w:t xml:space="preserve"> How can we analyse whether the mix of recognized institutions is helping to establish, strengthen or consolidate local democracy?</w:t>
      </w:r>
    </w:p>
    <w:p w14:paraId="49FD84D0" w14:textId="77777777" w:rsidR="00D720F5" w:rsidRPr="00C14D50" w:rsidRDefault="00D720F5" w:rsidP="00C14D50">
      <w:pPr>
        <w:spacing w:before="100" w:beforeAutospacing="1" w:after="100" w:afterAutospacing="1" w:line="360" w:lineRule="auto"/>
        <w:rPr>
          <w:sz w:val="24"/>
          <w:szCs w:val="24"/>
        </w:rPr>
      </w:pPr>
      <w:r w:rsidRPr="00C14D50">
        <w:rPr>
          <w:sz w:val="24"/>
          <w:szCs w:val="24"/>
        </w:rPr>
        <w:lastRenderedPageBreak/>
        <w:t>The “politics of choice and recognition” framework extends the discussion of recognition to institutions. Like the recognition of culture or individuals, the recognition of local institutions or authorities confers power and legitimacy and cultivates identities by providing forms of belonging. The choice of local authorities or organizations by government or international agencies is a form of recognition. Recognition strengthens the chosen authorities and organizations with resources and backing, reinforcing the forms of belonging these local institutions engender and the identities of their members. In doing so, recognition shapes three key aspects of democracy discussed below: representation, citizenship and public domain.</w:t>
      </w:r>
    </w:p>
    <w:p w14:paraId="1DDD071E" w14:textId="77777777" w:rsidR="00D720F5" w:rsidRPr="00C14D50" w:rsidRDefault="00D720F5" w:rsidP="00C14D50">
      <w:pPr>
        <w:pStyle w:val="Heading4"/>
        <w:spacing w:before="100" w:beforeAutospacing="1" w:after="100" w:afterAutospacing="1" w:line="360" w:lineRule="auto"/>
        <w:rPr>
          <w:i w:val="0"/>
          <w:lang w:eastAsia="en-GB"/>
        </w:rPr>
      </w:pPr>
      <w:r w:rsidRPr="00C14D50">
        <w:rPr>
          <w:lang w:eastAsia="en-GB"/>
        </w:rPr>
        <w:t>Representation</w:t>
      </w:r>
    </w:p>
    <w:p w14:paraId="4366BE6C" w14:textId="5781EA1E" w:rsidR="00D720F5" w:rsidRPr="00C14D50" w:rsidRDefault="00D720F5" w:rsidP="00C14D50">
      <w:pPr>
        <w:spacing w:before="100" w:beforeAutospacing="1" w:after="100" w:afterAutospacing="1" w:line="360" w:lineRule="auto"/>
        <w:rPr>
          <w:b/>
          <w:sz w:val="24"/>
          <w:szCs w:val="24"/>
        </w:rPr>
      </w:pPr>
      <w:r w:rsidRPr="00C14D50">
        <w:rPr>
          <w:sz w:val="24"/>
          <w:szCs w:val="24"/>
        </w:rPr>
        <w:t>In recent decades, many institutions have been created or cultivated with the purpose of increasing popular participation and empowerment in planning and decision-making (Fung and Wright, 2003; Fung, 2003).</w:t>
      </w:r>
      <w:r>
        <w:rPr>
          <w:rStyle w:val="EndnoteReference"/>
          <w:sz w:val="24"/>
          <w:szCs w:val="24"/>
        </w:rPr>
        <w:endnoteReference w:id="6"/>
      </w:r>
      <w:r w:rsidRPr="00C14D50">
        <w:rPr>
          <w:sz w:val="24"/>
          <w:szCs w:val="24"/>
        </w:rPr>
        <w:t xml:space="preserve"> While increased participation may have democratic characteristics by bringing a broader cross-section of the population into decision-making, participatory processes are often neither representative nor binding (</w:t>
      </w:r>
      <w:proofErr w:type="spellStart"/>
      <w:r w:rsidRPr="00C14D50">
        <w:rPr>
          <w:sz w:val="24"/>
          <w:szCs w:val="24"/>
        </w:rPr>
        <w:t>Mosse</w:t>
      </w:r>
      <w:proofErr w:type="spellEnd"/>
      <w:r w:rsidRPr="00C14D50">
        <w:rPr>
          <w:sz w:val="24"/>
          <w:szCs w:val="24"/>
        </w:rPr>
        <w:t xml:space="preserve">, 2001). Following Manin et al. (1999), democratic representation occurs when leaders are both responsive and accountable to the people. Accountability is achieved through positive and negative </w:t>
      </w:r>
      <w:r w:rsidRPr="00C14D50">
        <w:rPr>
          <w:i/>
          <w:sz w:val="24"/>
          <w:szCs w:val="24"/>
        </w:rPr>
        <w:t>sanctions</w:t>
      </w:r>
      <w:r w:rsidRPr="00C14D50">
        <w:rPr>
          <w:sz w:val="24"/>
          <w:szCs w:val="24"/>
        </w:rPr>
        <w:t xml:space="preserve">, and is a defining characteristic of democracy. Responsiveness requires leaders with </w:t>
      </w:r>
      <w:r w:rsidRPr="00C14D50">
        <w:rPr>
          <w:i/>
          <w:sz w:val="24"/>
          <w:szCs w:val="24"/>
        </w:rPr>
        <w:t>powers</w:t>
      </w:r>
      <w:r w:rsidRPr="00C14D50">
        <w:rPr>
          <w:sz w:val="24"/>
          <w:szCs w:val="24"/>
        </w:rPr>
        <w:t xml:space="preserve"> – the discretionary power to translate needs and aspirations into policy and policy into practice (Pritchett and Woolcock, 2004; Ribot, 2003). So, to be democratic, institutions must be representative: accountable to the people and empowered to respond.</w:t>
      </w:r>
    </w:p>
    <w:p w14:paraId="57A41BBC"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In decentralization and other local development interventions, outside authorities choose to work with, and therefore recognize, local authorities. In doing so, they cultivate these authorities, strengthening and legitimating them. </w:t>
      </w:r>
      <w:proofErr w:type="gramStart"/>
      <w:r w:rsidRPr="00C14D50">
        <w:rPr>
          <w:sz w:val="24"/>
          <w:szCs w:val="24"/>
        </w:rPr>
        <w:t>But,</w:t>
      </w:r>
      <w:proofErr w:type="gramEnd"/>
      <w:r w:rsidRPr="00C14D50">
        <w:rPr>
          <w:sz w:val="24"/>
          <w:szCs w:val="24"/>
        </w:rPr>
        <w:t xml:space="preserve"> how representative are the chosen institutions? In current decentralizations – even those called “democratic” – governments and international donors are largely choosing to avoid elected local government in favour of other institutions (see </w:t>
      </w:r>
      <w:proofErr w:type="spellStart"/>
      <w:r w:rsidRPr="00C14D50">
        <w:rPr>
          <w:sz w:val="24"/>
          <w:szCs w:val="24"/>
        </w:rPr>
        <w:t>Bandiaky</w:t>
      </w:r>
      <w:proofErr w:type="spellEnd"/>
      <w:r w:rsidRPr="00C14D50">
        <w:rPr>
          <w:sz w:val="24"/>
          <w:szCs w:val="24"/>
        </w:rPr>
        <w:t xml:space="preserve">, 2008; Hara, 2008; Manor, 2004; Toni, 2007; and, for exceptions, see Lankina, 2008). This choice is critical in that it deprives local elected authorities of the powers transferred to the local arena while empowering alternative or so-called “parallel” authorities. Empowering local line ministry offices, NGOs, customary chiefs and private corporations can de-legitimate elected local authorities while legitimating parallel bodies. </w:t>
      </w:r>
      <w:r w:rsidRPr="00C14D50">
        <w:rPr>
          <w:sz w:val="24"/>
          <w:szCs w:val="24"/>
        </w:rPr>
        <w:lastRenderedPageBreak/>
        <w:t>Elected local government is forced to compete and struggle with other local institutions for the legitimacy that follows from control of public decisions and service delivery.</w:t>
      </w:r>
    </w:p>
    <w:p w14:paraId="4DC8E7B8" w14:textId="6E589034" w:rsidR="00D720F5" w:rsidRPr="00C14D50" w:rsidRDefault="00D720F5" w:rsidP="00C14D50">
      <w:pPr>
        <w:spacing w:before="100" w:beforeAutospacing="1" w:after="100" w:afterAutospacing="1" w:line="360" w:lineRule="auto"/>
        <w:rPr>
          <w:sz w:val="24"/>
          <w:szCs w:val="24"/>
        </w:rPr>
      </w:pPr>
      <w:r w:rsidRPr="00C14D50">
        <w:rPr>
          <w:sz w:val="24"/>
          <w:szCs w:val="24"/>
        </w:rPr>
        <w:t>Representative local authorities can be strengthened through recognition (Lankina, 2008). They may be weakened, however, if (</w:t>
      </w:r>
      <w:proofErr w:type="spellStart"/>
      <w:r w:rsidRPr="00C14D50">
        <w:rPr>
          <w:sz w:val="24"/>
          <w:szCs w:val="24"/>
        </w:rPr>
        <w:t>i</w:t>
      </w:r>
      <w:proofErr w:type="spellEnd"/>
      <w:r w:rsidRPr="00C14D50">
        <w:rPr>
          <w:sz w:val="24"/>
          <w:szCs w:val="24"/>
        </w:rPr>
        <w:t>) they receive too little power to be effective (</w:t>
      </w:r>
      <w:proofErr w:type="spellStart"/>
      <w:r w:rsidRPr="00C14D50">
        <w:rPr>
          <w:sz w:val="24"/>
          <w:szCs w:val="24"/>
        </w:rPr>
        <w:t>Bandiaky</w:t>
      </w:r>
      <w:proofErr w:type="spellEnd"/>
      <w:r w:rsidRPr="00C14D50">
        <w:rPr>
          <w:sz w:val="24"/>
          <w:szCs w:val="24"/>
        </w:rPr>
        <w:t xml:space="preserve">, 2008; Hara, 2008; Larson, 2008; </w:t>
      </w:r>
      <w:proofErr w:type="spellStart"/>
      <w:r w:rsidRPr="00C14D50">
        <w:rPr>
          <w:sz w:val="24"/>
          <w:szCs w:val="24"/>
        </w:rPr>
        <w:t>Spierenburg</w:t>
      </w:r>
      <w:proofErr w:type="spellEnd"/>
      <w:r w:rsidRPr="00C14D50">
        <w:rPr>
          <w:sz w:val="24"/>
          <w:szCs w:val="24"/>
        </w:rPr>
        <w:t xml:space="preserve"> et al., 2008; Toni, 2007) or (ii) parallel institutions overshadow or pre-empt their ability to serve the public interest (</w:t>
      </w:r>
      <w:proofErr w:type="spellStart"/>
      <w:r w:rsidRPr="00C14D50">
        <w:rPr>
          <w:sz w:val="24"/>
          <w:szCs w:val="24"/>
        </w:rPr>
        <w:t>Bandiaky</w:t>
      </w:r>
      <w:proofErr w:type="spellEnd"/>
      <w:r w:rsidRPr="00C14D50">
        <w:rPr>
          <w:sz w:val="24"/>
          <w:szCs w:val="24"/>
        </w:rPr>
        <w:t>, 2008; Hara, 2008; Toni, 2007). Manor (2004) describes the democracy effects of underfunded local governments with a mandate to manage natural resources operating in an arena with overfunded environment committees. Transferring public powers to parallel authorities in the local arena can take powers away from, and produce competition with, democratic local government. That competition can be divisive (Toni, 2007) or it may lead to more efficiency and better representation all around (Chhatre, 2008; Ito, 2007). It can undermine the legitimacy of local democratic authorities while producing conditions for elite capture, or it may produce a pluralism of competition and cooperation that helps establish and thicken civil society and articulation between society and government (Chhatre, 2008; Lankina, 2008).</w:t>
      </w:r>
      <w:r>
        <w:rPr>
          <w:rStyle w:val="EndnoteReference"/>
          <w:sz w:val="24"/>
          <w:szCs w:val="24"/>
        </w:rPr>
        <w:endnoteReference w:id="7"/>
      </w:r>
      <w:r w:rsidRPr="00C14D50">
        <w:rPr>
          <w:sz w:val="24"/>
          <w:szCs w:val="24"/>
        </w:rPr>
        <w:t xml:space="preserve"> </w:t>
      </w:r>
    </w:p>
    <w:p w14:paraId="2F6E5151"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Analyses of the recognition of cultural authorities (those authorities based on cultural identities, such as customary chiefs, ethnic or religious leaders, etc.) provide insights for analysis of democracy outcomes. Fraser (2000: 108–111) argues that Taylor’s recognition of specific “misrecognized” groups, “insofar as it reifies group identities, . . . risks sanctioning violations of human rights and freezing the very antagonisms it purports to mediate”. Further, Fraser (2000: 108–111) argues that privileging culture and identity diverts attention from material and social bases of distribution, potentially reinforcing material injustices.</w:t>
      </w:r>
      <w:r w:rsidRPr="00C14D50">
        <w:rPr>
          <w:sz w:val="24"/>
          <w:szCs w:val="24"/>
          <w:vertAlign w:val="superscript"/>
        </w:rPr>
        <w:t xml:space="preserve"> </w:t>
      </w:r>
    </w:p>
    <w:p w14:paraId="3632513D"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The empowering of customary or indigenous authorities illustrates these points. The desire to privilege “misrecognized” cultures often drives international development interventions. Across sub-Saharan Africa, Southeast Asia and Latin America, for example, “indigenous”, “customary” and “traditional” authorities are making a political comeback (Benda-Beckmann et al., 2003; </w:t>
      </w:r>
      <w:proofErr w:type="spellStart"/>
      <w:r w:rsidRPr="00C14D50">
        <w:rPr>
          <w:sz w:val="24"/>
          <w:szCs w:val="24"/>
        </w:rPr>
        <w:t>Geschiere</w:t>
      </w:r>
      <w:proofErr w:type="spellEnd"/>
      <w:r w:rsidRPr="00C14D50">
        <w:rPr>
          <w:sz w:val="24"/>
          <w:szCs w:val="24"/>
        </w:rPr>
        <w:t xml:space="preserve"> and Boone, 2003; Larson, 2008). This re-emergence is at least partly cultivated from above – a result of government, donors and international NGOs recognizing the authority of chiefs and headmen. The re-emergence of customary authority is so widespread and takes so many forms that it must also be attributed to particular local histories reshaped by global changes that give new life to traditional forms of belonging and identity </w:t>
      </w:r>
      <w:r w:rsidRPr="00C14D50">
        <w:rPr>
          <w:sz w:val="24"/>
          <w:szCs w:val="24"/>
        </w:rPr>
        <w:lastRenderedPageBreak/>
        <w:t>(</w:t>
      </w:r>
      <w:proofErr w:type="spellStart"/>
      <w:r w:rsidRPr="00C14D50">
        <w:rPr>
          <w:sz w:val="24"/>
          <w:szCs w:val="24"/>
        </w:rPr>
        <w:t>Engelbert</w:t>
      </w:r>
      <w:proofErr w:type="spellEnd"/>
      <w:r w:rsidRPr="00C14D50">
        <w:rPr>
          <w:sz w:val="24"/>
          <w:szCs w:val="24"/>
        </w:rPr>
        <w:t xml:space="preserve">, 2002). Of course, not everything indigenous is “good.” Many of the indigenous governance systems, when analysed as political systems rather than being viewed as cultural forms, would be labelled autocratic, despotic, oppressive, patriarchal, gender biased or gerontocratic. Some indigenous cultures condone and continue forms of servitude and slavery. But, when we call them “indigenous”, it is as if suddenly the nature of authority and governance is obscured behind a fog of cultural relativism. </w:t>
      </w:r>
    </w:p>
    <w:p w14:paraId="43636F92" w14:textId="77777777" w:rsidR="00D720F5" w:rsidRPr="00C14D50" w:rsidRDefault="00D720F5" w:rsidP="00C14D50">
      <w:pPr>
        <w:spacing w:before="100" w:beforeAutospacing="1" w:after="100" w:afterAutospacing="1" w:line="360" w:lineRule="auto"/>
        <w:rPr>
          <w:sz w:val="24"/>
          <w:szCs w:val="24"/>
          <w:lang w:eastAsia="en-GB"/>
        </w:rPr>
      </w:pPr>
      <w:r w:rsidRPr="00C14D50">
        <w:rPr>
          <w:sz w:val="24"/>
          <w:szCs w:val="24"/>
          <w:lang w:eastAsia="en-GB"/>
        </w:rPr>
        <w:t>Clearly, authority should not be legitimized just because it is labelled “democratic”, “customary” or “indigenous”, nor should power over the public domain be transferred uncritically to NGOs or private bodies. Whereas elected local governments are often scrutinized, the terms “culture”, “private” or “NGO” should not provide protection from political analysis – even if these authorities are locally “legitimate” or considered “authentic” (see Ntsebeza, 2005). To avoid double standards, cultural and political authorities as well as civil society, community and private leaders should be viewed in the same critical light. This critical equity provides a starting point for a dialogue among cultural and political stances. All local authorities need to be evaluated for how they represent people, encourage citizenship and produce an engaging public domain.</w:t>
      </w:r>
    </w:p>
    <w:p w14:paraId="58BC08C8" w14:textId="77777777" w:rsidR="00D720F5" w:rsidRPr="00C14D50" w:rsidRDefault="00D720F5" w:rsidP="00C14D50">
      <w:pPr>
        <w:spacing w:before="100" w:beforeAutospacing="1" w:after="100" w:afterAutospacing="1" w:line="360" w:lineRule="auto"/>
        <w:rPr>
          <w:sz w:val="24"/>
          <w:szCs w:val="24"/>
          <w:lang w:eastAsia="en-GB"/>
        </w:rPr>
      </w:pPr>
      <w:r w:rsidRPr="00C14D50">
        <w:rPr>
          <w:sz w:val="24"/>
          <w:szCs w:val="24"/>
          <w:lang w:eastAsia="en-GB"/>
        </w:rPr>
        <w:t xml:space="preserve">Institutional choices effect representation as well as project outcomes. In the most practical sense, researchers have found in forestry programs that </w:t>
      </w:r>
      <w:r w:rsidRPr="00C14D50">
        <w:rPr>
          <w:sz w:val="24"/>
          <w:szCs w:val="24"/>
        </w:rPr>
        <w:t>when local people are not represented in decisions over forestry interventions they disengage from projects (</w:t>
      </w:r>
      <w:proofErr w:type="spellStart"/>
      <w:r w:rsidRPr="00C14D50">
        <w:rPr>
          <w:sz w:val="24"/>
          <w:szCs w:val="24"/>
        </w:rPr>
        <w:t>Mandondo</w:t>
      </w:r>
      <w:proofErr w:type="spellEnd"/>
      <w:r w:rsidRPr="00C14D50">
        <w:rPr>
          <w:sz w:val="24"/>
          <w:szCs w:val="24"/>
        </w:rPr>
        <w:t xml:space="preserve"> 2015; </w:t>
      </w:r>
      <w:proofErr w:type="spellStart"/>
      <w:r w:rsidRPr="00C14D50">
        <w:rPr>
          <w:sz w:val="24"/>
          <w:szCs w:val="24"/>
        </w:rPr>
        <w:t>Kijazi</w:t>
      </w:r>
      <w:proofErr w:type="spellEnd"/>
      <w:r w:rsidRPr="00C14D50">
        <w:rPr>
          <w:sz w:val="24"/>
          <w:szCs w:val="24"/>
        </w:rPr>
        <w:t xml:space="preserve"> 2015; Jusrut 2016), and that when communities disengage from interventions, they often resist or sabotage projects (</w:t>
      </w:r>
      <w:proofErr w:type="spellStart"/>
      <w:r w:rsidRPr="00C14D50">
        <w:rPr>
          <w:sz w:val="24"/>
          <w:szCs w:val="24"/>
        </w:rPr>
        <w:t>Mandondo</w:t>
      </w:r>
      <w:proofErr w:type="spellEnd"/>
      <w:r w:rsidRPr="00C14D50">
        <w:rPr>
          <w:sz w:val="24"/>
          <w:szCs w:val="24"/>
        </w:rPr>
        <w:t xml:space="preserve"> 2015, </w:t>
      </w:r>
      <w:proofErr w:type="spellStart"/>
      <w:r w:rsidRPr="00C14D50">
        <w:rPr>
          <w:sz w:val="24"/>
          <w:szCs w:val="24"/>
        </w:rPr>
        <w:t>Kijazi</w:t>
      </w:r>
      <w:proofErr w:type="spellEnd"/>
      <w:r w:rsidRPr="00C14D50">
        <w:rPr>
          <w:sz w:val="24"/>
          <w:szCs w:val="24"/>
        </w:rPr>
        <w:t xml:space="preserve"> 2015; </w:t>
      </w:r>
      <w:proofErr w:type="spellStart"/>
      <w:r w:rsidRPr="00C14D50">
        <w:rPr>
          <w:sz w:val="24"/>
          <w:szCs w:val="24"/>
        </w:rPr>
        <w:t>Nakangu</w:t>
      </w:r>
      <w:proofErr w:type="spellEnd"/>
      <w:r w:rsidRPr="00C14D50">
        <w:rPr>
          <w:sz w:val="24"/>
          <w:szCs w:val="24"/>
        </w:rPr>
        <w:t xml:space="preserve"> 2012; Adjei 2015). When local people are not represented in decisions over forestry interventions, elites are more able to capture benefits (</w:t>
      </w:r>
      <w:proofErr w:type="spellStart"/>
      <w:r w:rsidRPr="00C14D50">
        <w:rPr>
          <w:sz w:val="24"/>
          <w:szCs w:val="24"/>
        </w:rPr>
        <w:t>Mandondo</w:t>
      </w:r>
      <w:proofErr w:type="spellEnd"/>
      <w:r w:rsidRPr="00C14D50">
        <w:rPr>
          <w:sz w:val="24"/>
          <w:szCs w:val="24"/>
        </w:rPr>
        <w:t xml:space="preserve"> 2015; </w:t>
      </w:r>
      <w:proofErr w:type="spellStart"/>
      <w:r w:rsidRPr="00C14D50">
        <w:rPr>
          <w:sz w:val="24"/>
          <w:szCs w:val="24"/>
        </w:rPr>
        <w:t>Kijazi</w:t>
      </w:r>
      <w:proofErr w:type="spellEnd"/>
      <w:r w:rsidRPr="00C14D50">
        <w:rPr>
          <w:sz w:val="24"/>
          <w:szCs w:val="24"/>
        </w:rPr>
        <w:t xml:space="preserve"> 2015; Jusrut 2015). Forestry interventions often lead to elite capture of project benefits and create conditions for formation of new elites that remain unaccountable to local people (Baruah 2015; </w:t>
      </w:r>
      <w:proofErr w:type="spellStart"/>
      <w:r w:rsidRPr="00C14D50">
        <w:rPr>
          <w:sz w:val="24"/>
          <w:szCs w:val="24"/>
        </w:rPr>
        <w:t>Eteme</w:t>
      </w:r>
      <w:proofErr w:type="spellEnd"/>
      <w:r w:rsidRPr="00C14D50">
        <w:rPr>
          <w:sz w:val="24"/>
          <w:szCs w:val="24"/>
        </w:rPr>
        <w:t xml:space="preserve"> 2015; Jusrut 2015). The long-term result of failed representation is that the instrumental aims of environmental programs – conservation or sustainability – are undermined. </w:t>
      </w:r>
    </w:p>
    <w:p w14:paraId="40A9CB34" w14:textId="77777777" w:rsidR="00D720F5" w:rsidRPr="00C14D50" w:rsidRDefault="00D720F5" w:rsidP="00C14D50">
      <w:pPr>
        <w:pStyle w:val="Heading4"/>
        <w:spacing w:before="100" w:beforeAutospacing="1" w:after="100" w:afterAutospacing="1" w:line="360" w:lineRule="auto"/>
        <w:rPr>
          <w:i w:val="0"/>
          <w:lang w:eastAsia="en-GB"/>
        </w:rPr>
      </w:pPr>
      <w:r w:rsidRPr="00C14D50">
        <w:rPr>
          <w:lang w:eastAsia="en-GB"/>
        </w:rPr>
        <w:t>Citizenship</w:t>
      </w:r>
    </w:p>
    <w:p w14:paraId="4CE56EF8"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Citizenship is the ability to make demands on government. Recognition of different kinds of authorities and organizations entails different forms of belonging (</w:t>
      </w:r>
      <w:proofErr w:type="spellStart"/>
      <w:r w:rsidRPr="00C14D50">
        <w:rPr>
          <w:sz w:val="24"/>
          <w:szCs w:val="24"/>
        </w:rPr>
        <w:t>Bandiaky</w:t>
      </w:r>
      <w:proofErr w:type="spellEnd"/>
      <w:r w:rsidRPr="00C14D50">
        <w:rPr>
          <w:sz w:val="24"/>
          <w:szCs w:val="24"/>
        </w:rPr>
        <w:t xml:space="preserve">, 2008; Lankina, 2008; Larson, 2008; Toni, 2007). Under democratic authorities, belonging is inclusive of </w:t>
      </w:r>
      <w:r w:rsidRPr="00C14D50">
        <w:rPr>
          <w:sz w:val="24"/>
          <w:szCs w:val="24"/>
        </w:rPr>
        <w:lastRenderedPageBreak/>
        <w:t xml:space="preserve">those who reside in a jurisdiction – residency-based citizenship. In liberal democracies, citizenship is usually associated with entitlement to certain civil, social and political rights irrespective of one’s identity and interests (Sparke, 2004). But, “rather than merely focusing on citizenship as legal rights”, </w:t>
      </w:r>
      <w:proofErr w:type="spellStart"/>
      <w:r w:rsidRPr="00C14D50">
        <w:rPr>
          <w:sz w:val="24"/>
          <w:szCs w:val="24"/>
        </w:rPr>
        <w:t>Isin</w:t>
      </w:r>
      <w:proofErr w:type="spellEnd"/>
      <w:r w:rsidRPr="00C14D50">
        <w:rPr>
          <w:sz w:val="24"/>
          <w:szCs w:val="24"/>
        </w:rPr>
        <w:t xml:space="preserve"> and Turner (2002: 4) argue that “there is now agreement that citizenship must also be defined as a social process through which individuals and social groups engage in claiming, expanding or losing rights”. Citizenship has come to be a process of being politically engaged and shaping the fate of the polity in which one is involved (</w:t>
      </w:r>
      <w:proofErr w:type="spellStart"/>
      <w:r w:rsidRPr="00C14D50">
        <w:rPr>
          <w:sz w:val="24"/>
          <w:szCs w:val="24"/>
        </w:rPr>
        <w:t>Isin</w:t>
      </w:r>
      <w:proofErr w:type="spellEnd"/>
      <w:r w:rsidRPr="00C14D50">
        <w:rPr>
          <w:sz w:val="24"/>
          <w:szCs w:val="24"/>
        </w:rPr>
        <w:t xml:space="preserve"> and Turner, 2002).</w:t>
      </w:r>
    </w:p>
    <w:p w14:paraId="18DEFB36" w14:textId="4E4ABFF8" w:rsidR="00D720F5" w:rsidRPr="00C14D50" w:rsidRDefault="00D720F5" w:rsidP="00C14D50">
      <w:pPr>
        <w:spacing w:before="100" w:beforeAutospacing="1" w:after="100" w:afterAutospacing="1" w:line="360" w:lineRule="auto"/>
        <w:rPr>
          <w:sz w:val="24"/>
          <w:szCs w:val="24"/>
        </w:rPr>
      </w:pPr>
      <w:r w:rsidRPr="00C14D50">
        <w:rPr>
          <w:sz w:val="24"/>
          <w:szCs w:val="24"/>
        </w:rPr>
        <w:t>Power transfers to local interlocutors both empower and legitimize them as authorities – providing a material basis for their ability to authorize. Hence there are also contracts between authorities of different scales such that one recognizes the other and, in the process, produces the other’s authority. In return there is some presumption that the acts of a lower-level authority will be recognized by the higher-scale authority and will promote its vision and agenda. Empowering a local authority gives it a role and resources, making it worth engaging, giving people a reason to belong and to exert influence – to act as citizens. Authorities that are open to influence foster citizenship, whereas those that impose their will and are less inviting of engagement may produce subjects.</w:t>
      </w:r>
      <w:r>
        <w:rPr>
          <w:rStyle w:val="EndnoteReference"/>
          <w:sz w:val="24"/>
          <w:szCs w:val="24"/>
        </w:rPr>
        <w:endnoteReference w:id="8"/>
      </w:r>
    </w:p>
    <w:p w14:paraId="3D57F54C"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Different kinds of authorities confer diverse rights and recourse, being accountable to the population to varying degrees. Under some authorities, people are citizens, with rights and recourse; under others, they are managed as subjects (Mamdani, 1996). Citizenship emerges where there are empowered authorities, which are worth engaging with and are open to engagement (</w:t>
      </w:r>
      <w:proofErr w:type="gramStart"/>
      <w:r w:rsidRPr="00C14D50">
        <w:rPr>
          <w:sz w:val="24"/>
          <w:szCs w:val="24"/>
        </w:rPr>
        <w:t>i.e.</w:t>
      </w:r>
      <w:proofErr w:type="gramEnd"/>
      <w:r w:rsidRPr="00C14D50">
        <w:rPr>
          <w:sz w:val="24"/>
          <w:szCs w:val="24"/>
        </w:rPr>
        <w:t xml:space="preserve"> downwardly accountable). Choosing the locus of authority establishes, strengthens or weakens citizenship. Where public resources are channelled into private bodies or autocratic authorities, the scope for citizen engagement is diminished. In short, the choice of authorities matters for the enabling or production of citizen demand.</w:t>
      </w:r>
    </w:p>
    <w:p w14:paraId="726A44AA" w14:textId="77777777" w:rsidR="00D720F5" w:rsidRPr="00C14D50" w:rsidRDefault="00D720F5" w:rsidP="00C14D50">
      <w:pPr>
        <w:spacing w:before="100" w:beforeAutospacing="1" w:after="100" w:afterAutospacing="1" w:line="360" w:lineRule="auto"/>
        <w:rPr>
          <w:sz w:val="24"/>
          <w:szCs w:val="24"/>
        </w:rPr>
      </w:pPr>
      <w:proofErr w:type="spellStart"/>
      <w:r w:rsidRPr="00C14D50">
        <w:rPr>
          <w:sz w:val="24"/>
          <w:szCs w:val="24"/>
        </w:rPr>
        <w:t>Bandiaky</w:t>
      </w:r>
      <w:proofErr w:type="spellEnd"/>
      <w:r w:rsidRPr="00C14D50">
        <w:rPr>
          <w:sz w:val="24"/>
          <w:szCs w:val="24"/>
        </w:rPr>
        <w:t xml:space="preserve"> (2008) shows how institutional choices by donors and the Forest Service deepen existing gender, class, political and ethnic hierarchies in the </w:t>
      </w:r>
      <w:proofErr w:type="spellStart"/>
      <w:r w:rsidRPr="00C14D50">
        <w:rPr>
          <w:sz w:val="24"/>
          <w:szCs w:val="24"/>
        </w:rPr>
        <w:t>Malidino</w:t>
      </w:r>
      <w:proofErr w:type="spellEnd"/>
      <w:r w:rsidRPr="00C14D50">
        <w:rPr>
          <w:sz w:val="24"/>
          <w:szCs w:val="24"/>
        </w:rPr>
        <w:t xml:space="preserve"> Biodiversity Community-based Reserve project in Senegal, while weakening elected local authorities. Decentralization and forestry laws in Senegal give elected local governments (rural councils) the right to manage natural resources. The project, however, circumvented the rural councils, creating “village committees” led by village chiefs, </w:t>
      </w:r>
      <w:r w:rsidRPr="00C14D50">
        <w:rPr>
          <w:iCs/>
          <w:sz w:val="24"/>
          <w:szCs w:val="24"/>
        </w:rPr>
        <w:t xml:space="preserve">imams </w:t>
      </w:r>
      <w:r w:rsidRPr="00C14D50">
        <w:rPr>
          <w:sz w:val="24"/>
          <w:szCs w:val="24"/>
        </w:rPr>
        <w:t xml:space="preserve">and village elite “wise men” to manage the reserve. This circumvention marginalized and weakened the elected rural council. </w:t>
      </w:r>
      <w:r w:rsidRPr="00C14D50">
        <w:rPr>
          <w:sz w:val="24"/>
          <w:szCs w:val="24"/>
        </w:rPr>
        <w:lastRenderedPageBreak/>
        <w:t>The project addressed gender by assigning elite women to administrative committee positions, such as treasurer, and by giving fictitious “paper” positions to elite family women. In turn, these elite women allocated project positions and resources to women in their families and ethnic groups. Male committee leaders, mostly from the ruling Socialist Party, also excluded opposition party members from reserve benefits. The Forest Service appointed an elected Socialist Party</w:t>
      </w:r>
      <w:r w:rsidRPr="00C14D50" w:rsidDel="007F7136">
        <w:rPr>
          <w:sz w:val="24"/>
          <w:szCs w:val="24"/>
        </w:rPr>
        <w:t xml:space="preserve"> </w:t>
      </w:r>
      <w:r w:rsidRPr="00C14D50">
        <w:rPr>
          <w:sz w:val="24"/>
          <w:szCs w:val="24"/>
        </w:rPr>
        <w:t>rural councillor as the reserve president, who allocated project food assistance to his extended kin and Socialist Party</w:t>
      </w:r>
      <w:r w:rsidRPr="00C14D50" w:rsidDel="007F7136">
        <w:rPr>
          <w:sz w:val="24"/>
          <w:szCs w:val="24"/>
        </w:rPr>
        <w:t xml:space="preserve"> </w:t>
      </w:r>
      <w:r w:rsidRPr="00C14D50">
        <w:rPr>
          <w:sz w:val="24"/>
          <w:szCs w:val="24"/>
        </w:rPr>
        <w:t>members. The reserve presidency allowed a private individual to use public powers to further his political agenda (as in Bates, 1981). The project enclosed the reserve in the service of one identity group, a political party and associated families, excluding the larger citizenry and reproducing gender inequalities in the process.</w:t>
      </w:r>
    </w:p>
    <w:p w14:paraId="71D928B6" w14:textId="77777777" w:rsidR="00D720F5" w:rsidRPr="00C14D50" w:rsidRDefault="00D720F5" w:rsidP="00C14D50">
      <w:pPr>
        <w:pStyle w:val="Heading4"/>
        <w:spacing w:before="100" w:beforeAutospacing="1" w:after="100" w:afterAutospacing="1" w:line="360" w:lineRule="auto"/>
        <w:rPr>
          <w:i w:val="0"/>
          <w:lang w:eastAsia="en-GB"/>
        </w:rPr>
      </w:pPr>
      <w:r w:rsidRPr="00C14D50">
        <w:rPr>
          <w:lang w:eastAsia="en-GB"/>
        </w:rPr>
        <w:t>The public domain</w:t>
      </w:r>
    </w:p>
    <w:p w14:paraId="32FBD12B"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Without powers, no authorities are worth influencing – even if they are accountable. A “domain” is something that is dominated by an authority. The public domain consists of the powers (resources and decisions) held, or citizen rights defended, by a public authority. It is the set of political powers vis-à-vis which citizens are able and entitled to influence public authorities. Retaining powers in the public domain maintains and reinforces public belonging in, and citizen identification with, the public authorities and with other citizens in the polity. Conversely, privatizing public resources and powers to individuals, corporations, customary authorities or NGOs diminishes the public domain. Such enclosure shrinks the integrative space of democratic public interaction. Without public powers there is no space for democracy, there is no “public domain” for citizens to engage in.</w:t>
      </w:r>
    </w:p>
    <w:p w14:paraId="01942CA0"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In Senegal, for example, </w:t>
      </w:r>
      <w:proofErr w:type="spellStart"/>
      <w:r w:rsidRPr="00C14D50">
        <w:rPr>
          <w:sz w:val="24"/>
          <w:szCs w:val="24"/>
        </w:rPr>
        <w:t>Hesseling</w:t>
      </w:r>
      <w:proofErr w:type="spellEnd"/>
      <w:r w:rsidRPr="00C14D50">
        <w:rPr>
          <w:sz w:val="24"/>
          <w:szCs w:val="24"/>
        </w:rPr>
        <w:t xml:space="preserve"> (n.d.) observed in the 1970s that, although the local government was elected, the state had given it too little power to have a meaningful relationship with local populations, noting that they had nothing to offer. There was no public domain, no citizenship and no democracy. A 1996 decentralization law and 1998 forestry law gave elected rural councils considerable authority over forest exploitation and management. But, because the Forest Service never allowed the councils to exercise these powers, the elected authorities remain powerless and frustrated that they cannot respond to local needs. The foresters (supported by forest management projects</w:t>
      </w:r>
      <w:r w:rsidRPr="00C14D50" w:rsidDel="00613D7F">
        <w:rPr>
          <w:sz w:val="24"/>
          <w:szCs w:val="24"/>
        </w:rPr>
        <w:t xml:space="preserve"> </w:t>
      </w:r>
      <w:r w:rsidRPr="00C14D50">
        <w:rPr>
          <w:sz w:val="24"/>
          <w:szCs w:val="24"/>
        </w:rPr>
        <w:t xml:space="preserve">of the United States Agency for International Development (USAID) and the World Bank) created committees – often headed by traditional authorities – to manage the forests rather than allowing the councils to exercise </w:t>
      </w:r>
      <w:r w:rsidRPr="00C14D50">
        <w:rPr>
          <w:sz w:val="24"/>
          <w:szCs w:val="24"/>
        </w:rPr>
        <w:lastRenderedPageBreak/>
        <w:t>their legal rights (</w:t>
      </w:r>
      <w:proofErr w:type="spellStart"/>
      <w:r w:rsidRPr="00C14D50">
        <w:rPr>
          <w:sz w:val="24"/>
          <w:szCs w:val="24"/>
        </w:rPr>
        <w:t>Bandiaky</w:t>
      </w:r>
      <w:proofErr w:type="spellEnd"/>
      <w:r w:rsidRPr="00C14D50">
        <w:rPr>
          <w:sz w:val="24"/>
          <w:szCs w:val="24"/>
        </w:rPr>
        <w:t>, 2008; Faye, 2006). There is still little they can offer their communities, and community members do not engage them on forestry matters (Larson and Ribot, 2007; Ribot, 2009).</w:t>
      </w:r>
    </w:p>
    <w:p w14:paraId="2C80ACF9"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In decentralizations, the choice to allocate public powers among multiple interest and identity groups may enclose the public domain and fragment society into interest- and identity-based forms of belonging by taking those powers from public authorities. The privatization of public powers to NGOs and other private bodies is a form of enclosure. When actors receiving these powers are customary or religious authorities, this enclosure constitutes a de-secularization of powers. These acts diminish the domain of integrative public action, undermining residency-based belonging and citizenship. A public domain is a necessary part of representation and of the production of citizenship. It is the space of integrative collective action that constitutes democracy. For decentralization to produce benefits in terms of equity, efficiency and democratization, it is essential to retain substantial public powers in the public domain.</w:t>
      </w:r>
    </w:p>
    <w:p w14:paraId="5F78A4CC"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In Mexico, citizens were able to organize and demand benefits when local government had new resources with which to offer services – this created new spaces of citizen engagement (Grindle, 2007: 175). This is the kind of space – one of meaningful and sufficient discretionary powers – that intervening agents must create if local democracy (the responsiveness of local authorities to the people) is to take root. </w:t>
      </w:r>
    </w:p>
    <w:p w14:paraId="3257115F" w14:textId="77777777" w:rsidR="00D720F5" w:rsidRPr="00C14D50" w:rsidRDefault="00D720F5" w:rsidP="00C14D50">
      <w:pPr>
        <w:pStyle w:val="Heading2"/>
        <w:spacing w:before="100" w:beforeAutospacing="1" w:after="100" w:afterAutospacing="1" w:line="360" w:lineRule="auto"/>
        <w:rPr>
          <w:rFonts w:ascii="Times New Roman" w:hAnsi="Times New Roman" w:cs="Times New Roman"/>
          <w:sz w:val="24"/>
          <w:szCs w:val="24"/>
        </w:rPr>
      </w:pPr>
      <w:r w:rsidRPr="00C14D50">
        <w:rPr>
          <w:rFonts w:ascii="Times New Roman" w:hAnsi="Times New Roman" w:cs="Times New Roman"/>
          <w:sz w:val="24"/>
          <w:szCs w:val="24"/>
        </w:rPr>
        <w:t>4. Discussion and conclusion</w:t>
      </w:r>
    </w:p>
    <w:p w14:paraId="514230D8"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The institutional choice and recognition framework </w:t>
      </w:r>
      <w:proofErr w:type="gramStart"/>
      <w:r w:rsidRPr="00C14D50">
        <w:rPr>
          <w:sz w:val="24"/>
          <w:szCs w:val="24"/>
        </w:rPr>
        <w:t>has</w:t>
      </w:r>
      <w:proofErr w:type="gramEnd"/>
      <w:r w:rsidRPr="00C14D50">
        <w:rPr>
          <w:sz w:val="24"/>
          <w:szCs w:val="24"/>
        </w:rPr>
        <w:t xml:space="preserve"> been used for comparative multi-case research to interrogate the effects on democracy of the recognition of local institutions and authorities (elected local government, pluralism, privatization, </w:t>
      </w:r>
      <w:proofErr w:type="spellStart"/>
      <w:r w:rsidRPr="00C14D50">
        <w:rPr>
          <w:sz w:val="24"/>
          <w:szCs w:val="24"/>
        </w:rPr>
        <w:t>NGOism</w:t>
      </w:r>
      <w:proofErr w:type="spellEnd"/>
      <w:r w:rsidRPr="00C14D50">
        <w:rPr>
          <w:sz w:val="24"/>
          <w:szCs w:val="24"/>
        </w:rPr>
        <w:t xml:space="preserve">, support for customary chiefs); the results are summarized in Ribot (2004), Ribot, Chhatre and Lankina (2008), and </w:t>
      </w:r>
      <w:proofErr w:type="spellStart"/>
      <w:r w:rsidRPr="00C14D50">
        <w:rPr>
          <w:sz w:val="24"/>
          <w:szCs w:val="24"/>
        </w:rPr>
        <w:t>Ece</w:t>
      </w:r>
      <w:proofErr w:type="spellEnd"/>
      <w:r w:rsidRPr="00C14D50">
        <w:rPr>
          <w:sz w:val="24"/>
          <w:szCs w:val="24"/>
        </w:rPr>
        <w:t>, Murombedzi and Ribot (2017). There are also guidelines for using the choice and representation framework for research (Ribot 2016) and for policy (Ribot 2017). By examining the effects of choosing these different institutions in decentralizations, researchers examined the propositions that: (</w:t>
      </w:r>
      <w:proofErr w:type="spellStart"/>
      <w:r w:rsidRPr="00C14D50">
        <w:rPr>
          <w:sz w:val="24"/>
          <w:szCs w:val="24"/>
        </w:rPr>
        <w:t>i</w:t>
      </w:r>
      <w:proofErr w:type="spellEnd"/>
      <w:r w:rsidRPr="00C14D50">
        <w:rPr>
          <w:sz w:val="24"/>
          <w:szCs w:val="24"/>
        </w:rPr>
        <w:t xml:space="preserve">) the support given to local authorities privileges and strengthens them – whether their constituencies are residency, identity or interest based; and (ii) when governments and international agencies empower local authorities, they are enforcing upon the members of the groups the particular forms of comportment, </w:t>
      </w:r>
      <w:r w:rsidRPr="00C14D50">
        <w:rPr>
          <w:sz w:val="24"/>
          <w:szCs w:val="24"/>
        </w:rPr>
        <w:lastRenderedPageBreak/>
        <w:t xml:space="preserve">accountability relations, belonging and beliefs of the chosen authorities. The cases cited in this article from the </w:t>
      </w:r>
      <w:proofErr w:type="spellStart"/>
      <w:r w:rsidRPr="00C14D50">
        <w:rPr>
          <w:sz w:val="24"/>
          <w:szCs w:val="24"/>
        </w:rPr>
        <w:t>Ece</w:t>
      </w:r>
      <w:proofErr w:type="spellEnd"/>
      <w:r w:rsidRPr="00C14D50">
        <w:rPr>
          <w:sz w:val="24"/>
          <w:szCs w:val="24"/>
        </w:rPr>
        <w:t>, Murombedzi and Ribot (2017</w:t>
      </w:r>
      <w:proofErr w:type="gramStart"/>
      <w:r w:rsidRPr="00C14D50">
        <w:rPr>
          <w:sz w:val="24"/>
          <w:szCs w:val="24"/>
        </w:rPr>
        <w:t>)  comparative</w:t>
      </w:r>
      <w:proofErr w:type="gramEnd"/>
      <w:r w:rsidRPr="00C14D50">
        <w:rPr>
          <w:sz w:val="24"/>
          <w:szCs w:val="24"/>
        </w:rPr>
        <w:t xml:space="preserve"> study provide some preliminary data on the ways institutional choices are made within decentralization reforms and how they shape representation, citizenship and the public domain.</w:t>
      </w:r>
    </w:p>
    <w:p w14:paraId="7358A54F" w14:textId="2CAC3AA6" w:rsidR="00D720F5" w:rsidRPr="00C14D50" w:rsidRDefault="00D720F5" w:rsidP="00C14D50">
      <w:pPr>
        <w:spacing w:before="100" w:beforeAutospacing="1" w:after="100" w:afterAutospacing="1" w:line="360" w:lineRule="auto"/>
        <w:rPr>
          <w:sz w:val="24"/>
          <w:szCs w:val="24"/>
        </w:rPr>
      </w:pPr>
      <w:r w:rsidRPr="00C14D50">
        <w:rPr>
          <w:sz w:val="24"/>
          <w:szCs w:val="24"/>
        </w:rPr>
        <w:t xml:space="preserve">The findings of the first set of cases evoked in this chapter have been reinforced by many since (see </w:t>
      </w:r>
      <w:proofErr w:type="spellStart"/>
      <w:r w:rsidRPr="00C14D50">
        <w:rPr>
          <w:sz w:val="24"/>
          <w:szCs w:val="24"/>
        </w:rPr>
        <w:t>Ece</w:t>
      </w:r>
      <w:proofErr w:type="spellEnd"/>
      <w:r w:rsidRPr="00C14D50">
        <w:rPr>
          <w:sz w:val="24"/>
          <w:szCs w:val="24"/>
        </w:rPr>
        <w:t>, Murombedzi and Ribot 2017). In the core cases, those covered by Ribot (2004) and Ribot, Chhatre and Lankina (2008), governments of India, Brazil, Indonesia, Russia, Guatemala, Benin, Senegal, Malawi and South Africa have launched processes ostensibly designed to enable local people to govern their own affairs (Ribot et al., 2008). In all of these cases, central government, donors or development professionals proclaimed a belief in democratic local government. This belief seems to have at least partly driven choices in India, Indonesia, Russia and Guatemala. In Brazil, Guatemala and Malawi, however, mistrust of local government compelled politicians, government agencies and donors to choose alternative local authorities. Mobilization of a union social movement in Brazil and an indigenous social movement in Guatemala, instrumental management objectives in Malawi, Benin and Senegal, belief in civil society in Brazil, Indonesia and Senegal, and a line ministry’s support for group rights in South Africa drove the choice towards parallel local authorities. The outcomes of these choices were mixed. Recognition of local government in India, Indonesia, Russia and Guatemala helped local governments to become relevant and more representative. In Brazil, Malawi, Benin and Senegal, the circumvention of elected local government channelled resources into deconcentrated project committees and other private civil society organizations. In South Africa, recognition of collective private rights produced a democratically chosen ethnic leader.</w:t>
      </w:r>
      <w:r>
        <w:rPr>
          <w:rStyle w:val="EndnoteReference"/>
          <w:sz w:val="24"/>
          <w:szCs w:val="24"/>
        </w:rPr>
        <w:endnoteReference w:id="9"/>
      </w:r>
    </w:p>
    <w:p w14:paraId="2ACAB58C" w14:textId="77777777" w:rsidR="00D720F5" w:rsidRPr="00C14D50" w:rsidRDefault="00D720F5" w:rsidP="00C14D50">
      <w:pPr>
        <w:spacing w:before="100" w:beforeAutospacing="1" w:after="100" w:afterAutospacing="1" w:line="360" w:lineRule="auto"/>
        <w:rPr>
          <w:sz w:val="24"/>
          <w:szCs w:val="24"/>
          <w:lang w:eastAsia="en-GB"/>
        </w:rPr>
      </w:pPr>
      <w:r w:rsidRPr="00C14D50">
        <w:rPr>
          <w:sz w:val="24"/>
          <w:szCs w:val="24"/>
          <w:lang w:eastAsia="en-GB"/>
        </w:rPr>
        <w:t xml:space="preserve">The empowerment of local governments in India and Indonesia illustrates how democratic competition shapes the political articulation of citizens with the state (see Chhatre, 2008; Ito, 2007). Whereas in India citizen engagement is broad based, in Indonesia engagement is between the state and a narrow elite. This narrow engagement followed from a selective civil society approach to local democracy in which policy-makers choose or cultivate an elite, state-allied civil society. Ito (2007) shows the limits of a civil society approach to local democracy and development in Indonesia; increasing competition to influence decentralized public office could, over time, generate incentives for the elite to expand social inclusion, providing opportunities to poor villagers to influence policy. As Chhatre (2008) argues, </w:t>
      </w:r>
      <w:r w:rsidRPr="00C14D50">
        <w:rPr>
          <w:sz w:val="24"/>
          <w:szCs w:val="24"/>
          <w:lang w:eastAsia="en-GB"/>
        </w:rPr>
        <w:lastRenderedPageBreak/>
        <w:t xml:space="preserve">competitive elections at many levels over time and several electoral cycles are needed for articulation to trickle down to the most marginalized sections of society. </w:t>
      </w:r>
    </w:p>
    <w:p w14:paraId="3DA37A6D" w14:textId="77777777" w:rsidR="00D720F5" w:rsidRPr="00C14D50" w:rsidRDefault="00D720F5" w:rsidP="00C14D50">
      <w:pPr>
        <w:spacing w:before="100" w:beforeAutospacing="1" w:after="100" w:afterAutospacing="1" w:line="360" w:lineRule="auto"/>
        <w:rPr>
          <w:sz w:val="24"/>
          <w:szCs w:val="24"/>
          <w:lang w:eastAsia="en-GB"/>
        </w:rPr>
      </w:pPr>
      <w:r w:rsidRPr="00C14D50">
        <w:rPr>
          <w:sz w:val="24"/>
          <w:szCs w:val="24"/>
          <w:lang w:eastAsia="en-GB"/>
        </w:rPr>
        <w:t xml:space="preserve">The selective civil society approach was also used in project implementation by the forestry and fisheries departments in Senegal, Malawi and Benin, where projects produced civil society committees composed of hand-picked local actors aligned with project objectives. In these </w:t>
      </w:r>
      <w:proofErr w:type="gramStart"/>
      <w:r w:rsidRPr="00C14D50">
        <w:rPr>
          <w:sz w:val="24"/>
          <w:szCs w:val="24"/>
          <w:lang w:eastAsia="en-GB"/>
        </w:rPr>
        <w:t>cases</w:t>
      </w:r>
      <w:proofErr w:type="gramEnd"/>
      <w:r w:rsidRPr="00C14D50">
        <w:rPr>
          <w:sz w:val="24"/>
          <w:szCs w:val="24"/>
          <w:lang w:eastAsia="en-GB"/>
        </w:rPr>
        <w:t xml:space="preserve"> and the Indonesia case, civil society approaches are used to selectively empower class, party, ethnic and gendered allies, reproducing and entrenching existing social stratification. This civil society approach is not enabling all groups within society to influence governance on an equal basis. In Brazil, however, the state chose an arguably pro-poor local union movement as its institutional ally, and in Guatemala the self-selected indigenous leaders did effectively protect the interests of their marginalized population. Where civil society emerged from social movements, it appears that a civil society approach is effective at broad-based representation and serving interests of the poor. Similarly, in </w:t>
      </w:r>
      <w:proofErr w:type="spellStart"/>
      <w:r w:rsidRPr="00C14D50">
        <w:rPr>
          <w:sz w:val="24"/>
          <w:szCs w:val="24"/>
          <w:lang w:eastAsia="en-GB"/>
        </w:rPr>
        <w:t>Chhatre’s</w:t>
      </w:r>
      <w:proofErr w:type="spellEnd"/>
      <w:r w:rsidRPr="00C14D50">
        <w:rPr>
          <w:sz w:val="24"/>
          <w:szCs w:val="24"/>
          <w:lang w:eastAsia="en-GB"/>
        </w:rPr>
        <w:t xml:space="preserve"> (2008) Indian case, a locally constituted social movement against a forestry project articulated broad-based representation through local government – the </w:t>
      </w:r>
      <w:r w:rsidRPr="00C14D50">
        <w:rPr>
          <w:i/>
          <w:sz w:val="24"/>
          <w:szCs w:val="24"/>
          <w:lang w:eastAsia="en-GB"/>
        </w:rPr>
        <w:t>panchayat</w:t>
      </w:r>
      <w:r w:rsidRPr="00C14D50">
        <w:rPr>
          <w:sz w:val="24"/>
          <w:szCs w:val="24"/>
          <w:lang w:eastAsia="en-GB"/>
        </w:rPr>
        <w:t>.</w:t>
      </w:r>
    </w:p>
    <w:p w14:paraId="439C74C6"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Democratic deepening is shaped by the way “unequal social relations and uneven institutional environments impinge upon the exercise of citizenship” (Heller et al., 2007: 627). In most of the case studies, transferred powers – whether discretionary or merely the implementation of mandates – follow the contours of the existing divisions and inequalities shaping national and local politics. In Himachal Pradesh, India, the powers took on the contours of balanced political competition (Chhatre, 2008). In Para, Brazil, they divided along party lines. In Bandung, Indonesia, they articulated via class divisions (Ito, 2007). In Guatemala, they fractured along indigenous and settler-integrationist lines (Larson, 2008). Where few discretionary powers are transferred, as in Benin and Senegal, project funds and interventions still flow along lines of traditional ethnic and gender hierarchies (</w:t>
      </w:r>
      <w:proofErr w:type="spellStart"/>
      <w:r w:rsidRPr="00C14D50">
        <w:rPr>
          <w:sz w:val="24"/>
          <w:szCs w:val="24"/>
        </w:rPr>
        <w:t>Bandiaky</w:t>
      </w:r>
      <w:proofErr w:type="spellEnd"/>
      <w:r w:rsidRPr="00C14D50">
        <w:rPr>
          <w:sz w:val="24"/>
          <w:szCs w:val="24"/>
        </w:rPr>
        <w:t xml:space="preserve">, 2008; </w:t>
      </w:r>
      <w:proofErr w:type="spellStart"/>
      <w:r w:rsidRPr="00C14D50">
        <w:rPr>
          <w:sz w:val="24"/>
          <w:szCs w:val="24"/>
        </w:rPr>
        <w:t>Mongbo</w:t>
      </w:r>
      <w:proofErr w:type="spellEnd"/>
      <w:r w:rsidRPr="00C14D50">
        <w:rPr>
          <w:sz w:val="24"/>
          <w:szCs w:val="24"/>
        </w:rPr>
        <w:t>, 2008). Agrawal and Gupta (2005) argue that</w:t>
      </w:r>
      <w:r w:rsidRPr="00C14D50" w:rsidDel="002127A1">
        <w:rPr>
          <w:sz w:val="24"/>
          <w:szCs w:val="24"/>
        </w:rPr>
        <w:t xml:space="preserve"> </w:t>
      </w:r>
      <w:r w:rsidRPr="00C14D50">
        <w:rPr>
          <w:sz w:val="24"/>
          <w:szCs w:val="24"/>
        </w:rPr>
        <w:t xml:space="preserve">decentralization can exacerbate existing socioeconomic inequalities unless decentralization programmes are specifically biased towards disadvantaged groups, rather than being formally neutral in their design and implementation. </w:t>
      </w:r>
      <w:proofErr w:type="spellStart"/>
      <w:r w:rsidRPr="00C14D50">
        <w:rPr>
          <w:sz w:val="24"/>
          <w:szCs w:val="24"/>
        </w:rPr>
        <w:t>Bandiaky</w:t>
      </w:r>
      <w:proofErr w:type="spellEnd"/>
      <w:r w:rsidRPr="00C14D50">
        <w:rPr>
          <w:sz w:val="24"/>
          <w:szCs w:val="24"/>
        </w:rPr>
        <w:t xml:space="preserve"> (2008) also shows that gender biases are not addressed by gender-neutral projects and argues in favour of skewing recognition towards women and other marginalized groups.</w:t>
      </w:r>
    </w:p>
    <w:p w14:paraId="6438AD37" w14:textId="77777777" w:rsidR="00D720F5" w:rsidRPr="00C14D50" w:rsidRDefault="00D720F5" w:rsidP="00C14D50">
      <w:pPr>
        <w:spacing w:before="100" w:beforeAutospacing="1" w:after="100" w:afterAutospacing="1" w:line="360" w:lineRule="auto"/>
        <w:rPr>
          <w:sz w:val="24"/>
          <w:szCs w:val="24"/>
        </w:rPr>
      </w:pPr>
      <w:r w:rsidRPr="00C14D50">
        <w:rPr>
          <w:sz w:val="24"/>
          <w:szCs w:val="24"/>
        </w:rPr>
        <w:lastRenderedPageBreak/>
        <w:t>The cases reviewed for this chapter show that the distributive aspects of recognition are not solely local. Mechanisms are needed to ensure that marginal populations can engage in their own governance. Local and central governments play roles in ensuring both the inclusion and the empowerment of marginal groups. In Indonesia, the choice of elite civil society is biasing distribution by channelling investments towards elite interests (Ito, 2007). In Guatemala and South Africa, however, it appears that marginal populations are being served by their own local institutions, and in South Africa that success came with the support of the central government’s Commission on Restitution of Land Rights</w:t>
      </w:r>
      <w:r w:rsidRPr="00C14D50">
        <w:rPr>
          <w:rStyle w:val="st"/>
          <w:sz w:val="24"/>
          <w:szCs w:val="24"/>
        </w:rPr>
        <w:t xml:space="preserve"> </w:t>
      </w:r>
      <w:r w:rsidRPr="00C14D50">
        <w:rPr>
          <w:sz w:val="24"/>
          <w:szCs w:val="24"/>
        </w:rPr>
        <w:t xml:space="preserve">(Larson, 2008; </w:t>
      </w:r>
      <w:proofErr w:type="spellStart"/>
      <w:r w:rsidRPr="00C14D50">
        <w:rPr>
          <w:sz w:val="24"/>
          <w:szCs w:val="24"/>
        </w:rPr>
        <w:t>Spierenburg</w:t>
      </w:r>
      <w:proofErr w:type="spellEnd"/>
      <w:r w:rsidRPr="00C14D50">
        <w:rPr>
          <w:sz w:val="24"/>
          <w:szCs w:val="24"/>
        </w:rPr>
        <w:t xml:space="preserve"> et al., 2008). When does local authority or local democracy serve the poor? Are Crook and </w:t>
      </w:r>
      <w:proofErr w:type="spellStart"/>
      <w:r w:rsidRPr="00C14D50">
        <w:rPr>
          <w:sz w:val="24"/>
          <w:szCs w:val="24"/>
        </w:rPr>
        <w:t>Sverrisson</w:t>
      </w:r>
      <w:proofErr w:type="spellEnd"/>
      <w:r w:rsidRPr="00C14D50">
        <w:rPr>
          <w:sz w:val="24"/>
          <w:szCs w:val="24"/>
        </w:rPr>
        <w:t xml:space="preserve"> (2001) right that local democracy does not serve the poor unless there is a central mandate to do so? How significant is Foster and Rosenzweig’s (2004) research showing that democratic local governments in India are more pro-poor than autocratic local authorities, or Heller et al.’s (2007) findings that all categories of respondents – including farmers, unions, scheduled castes and women – found improved service delivery following democratic decentralization reforms? Clearly, democratic decentralization can serve the poor, but targeting women, low castes and underprivileged groups with focused attention on biased hierarchy is probably a necessary complement to any local authority if local democracy is to redress entrenched inequity (also see Crook and </w:t>
      </w:r>
      <w:proofErr w:type="spellStart"/>
      <w:r w:rsidRPr="00C14D50">
        <w:rPr>
          <w:sz w:val="24"/>
          <w:szCs w:val="24"/>
        </w:rPr>
        <w:t>Sverrisson</w:t>
      </w:r>
      <w:proofErr w:type="spellEnd"/>
      <w:r w:rsidRPr="00C14D50">
        <w:rPr>
          <w:sz w:val="24"/>
          <w:szCs w:val="24"/>
        </w:rPr>
        <w:t xml:space="preserve">, 2001; Heller et al., 2007: 629; and Mansuri and Rao, 2003: 11–14; </w:t>
      </w:r>
      <w:proofErr w:type="spellStart"/>
      <w:r w:rsidRPr="00C14D50">
        <w:rPr>
          <w:sz w:val="24"/>
          <w:szCs w:val="24"/>
        </w:rPr>
        <w:t>Bandiaky</w:t>
      </w:r>
      <w:proofErr w:type="spellEnd"/>
      <w:r w:rsidRPr="00C14D50">
        <w:rPr>
          <w:sz w:val="24"/>
          <w:szCs w:val="24"/>
        </w:rPr>
        <w:t xml:space="preserve"> 2008).</w:t>
      </w:r>
    </w:p>
    <w:p w14:paraId="6D59F649"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Recognition of representative authorities can provide for representation of diverse interests. Recognition of non-representative authorities, in contrast, can subject individuals to the cultural or ideological vagaries of those authorities. Many struggles for recognition and many acts of acknowledgement uncritically recognize non-representative authorities. Rules are not easily contestable when the chosen authorities are non-democratic and when the choice of those authorities is imposed by inaccessible higher authorities. The central irony of the common practice of recognizing cultural authorities – chiefs, indigenous or ethnic leaders – in the name of freedom or democracy is that this recognition can constrain the very contestation that makes a society free and democratic.</w:t>
      </w:r>
    </w:p>
    <w:p w14:paraId="2F4A5085"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Criteria are needed to judge the likely human rights and material equity effects of choosing particular authorities. Fraser (2000: 115) proposes the ideal of “participatory parity”, by which all citizens and citizen groups, regardless of identity, must have equal opportunities to participate in democratic institutions. In the institutions chosen by governments and </w:t>
      </w:r>
      <w:r w:rsidRPr="00C14D50">
        <w:rPr>
          <w:sz w:val="24"/>
          <w:szCs w:val="24"/>
        </w:rPr>
        <w:lastRenderedPageBreak/>
        <w:t>international organizations, inclusive parity is not always evident. The chosen authorities are enabled to recognize other actors as authentic, or to discipline those they consider inauthentic. They are able to determine who belongs and who does not. In the cases explored in this chapter, the chosen actors are shaping who belongs and benefits – they are choosing by gender, migrant status, indigenousness, ethnicity and interest. Recognition is enabling cultural and non-cultural authorities, which can in turn shape the boundaries of inclusion and determine which decisions are made by a broad public and which are to serve individual and collective private ends. To produce and maintain the “opportunity” for equal inclusion will require the production of a meaningful public domain with a built-in bias in favour of poor and marginal groups.</w:t>
      </w:r>
    </w:p>
    <w:p w14:paraId="50FFDDD9"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Neither accountable authorities without powers nor the devolution of power without popular accountability constitute local democracy. Without powers there is no reason for local people to engage as citizens – no reason for them to make demands on local government. Without accountability there is no means for people to engage as citizens – no channels through which to make those demands. The production of citizenship is predicated on a meaningful mix of both. Simple guidelines for policy and project design and implementation, as well as for monitoring and evaluation, are necessary to ensure that interventions support representation, citizenship and the development of a public domain.</w:t>
      </w:r>
    </w:p>
    <w:p w14:paraId="02EEBE61" w14:textId="77777777" w:rsidR="00D720F5" w:rsidRPr="00C14D50" w:rsidRDefault="00D720F5" w:rsidP="00C14D50">
      <w:pPr>
        <w:spacing w:before="100" w:beforeAutospacing="1" w:after="100" w:afterAutospacing="1" w:line="360" w:lineRule="auto"/>
        <w:rPr>
          <w:sz w:val="24"/>
          <w:szCs w:val="24"/>
        </w:rPr>
      </w:pPr>
      <w:r w:rsidRPr="00C14D50">
        <w:rPr>
          <w:sz w:val="24"/>
          <w:szCs w:val="24"/>
        </w:rPr>
        <w:t xml:space="preserve">The common framework for the design and evaluation of decentralization, which characterizes it as a combination of administrative, political and fiscal transfers, has little analytical purchase. Administrative and political decentralization are about </w:t>
      </w:r>
      <w:r w:rsidRPr="00C14D50">
        <w:rPr>
          <w:i/>
          <w:sz w:val="24"/>
          <w:szCs w:val="24"/>
        </w:rPr>
        <w:t>who</w:t>
      </w:r>
      <w:r w:rsidRPr="00C14D50">
        <w:rPr>
          <w:sz w:val="24"/>
          <w:szCs w:val="24"/>
        </w:rPr>
        <w:t xml:space="preserve"> receives powers (appointed or elected bodies) whereas fiscal decentralization is about the kind of power received (finance). Indeed, fiscal power is only one kind of power among many, including executive, legislative and judicial powers. It is misleading insofar as fiscal power is only one executive resource and is relatively minor compared with other executive functions such as the allocation of jobs and access to resources. By focusing on the fiscal element alone, the framing occludes other powers that are much more important. Furthermore, these categories tell us nothing about the elements that constitute decentralization. No analytical causal relations are evoked by these three incommensurate categories.</w:t>
      </w:r>
    </w:p>
    <w:p w14:paraId="1C0A3BF9" w14:textId="08EF99DA" w:rsidR="00D720F5" w:rsidRPr="00C14D50" w:rsidRDefault="00D720F5" w:rsidP="00C14D50">
      <w:pPr>
        <w:spacing w:before="100" w:beforeAutospacing="1" w:after="100" w:afterAutospacing="1" w:line="360" w:lineRule="auto"/>
        <w:rPr>
          <w:sz w:val="24"/>
          <w:szCs w:val="24"/>
        </w:rPr>
      </w:pPr>
      <w:r w:rsidRPr="00C14D50">
        <w:rPr>
          <w:sz w:val="24"/>
          <w:szCs w:val="24"/>
        </w:rPr>
        <w:t>Analytically, decentralization can be defined by local actors, the powers they hold and their accountability relations. It is the accountability relations that help us explain different outcomes of the exercise of powers.</w:t>
      </w:r>
      <w:r>
        <w:rPr>
          <w:rStyle w:val="EndnoteReference"/>
          <w:sz w:val="24"/>
          <w:szCs w:val="24"/>
        </w:rPr>
        <w:endnoteReference w:id="10"/>
      </w:r>
      <w:r w:rsidRPr="00C14D50">
        <w:rPr>
          <w:sz w:val="24"/>
          <w:szCs w:val="24"/>
        </w:rPr>
        <w:t xml:space="preserve"> Actors, their powers and their accountability relations </w:t>
      </w:r>
      <w:r w:rsidRPr="00C14D50">
        <w:rPr>
          <w:sz w:val="24"/>
          <w:szCs w:val="24"/>
        </w:rPr>
        <w:lastRenderedPageBreak/>
        <w:t>are the basic analytical elements of all forms of decentralization. The core question of any decentralization analysis is whether the choices being made by legislators and other intervening agents are resulting in a configuration of actors and powers and accountability relations that can be expected to lead to improved outcomes.</w:t>
      </w:r>
    </w:p>
    <w:p w14:paraId="4FAB83CB" w14:textId="77777777" w:rsidR="00771F89" w:rsidRPr="00C14D50" w:rsidRDefault="00771F89" w:rsidP="00C14D50">
      <w:pPr>
        <w:spacing w:before="100" w:beforeAutospacing="1" w:after="100" w:afterAutospacing="1" w:line="360" w:lineRule="auto"/>
        <w:rPr>
          <w:sz w:val="24"/>
          <w:szCs w:val="24"/>
        </w:rPr>
      </w:pPr>
      <w:r w:rsidRPr="00C14D50">
        <w:rPr>
          <w:sz w:val="24"/>
          <w:szCs w:val="24"/>
        </w:rPr>
        <w:t>Democratic decentralization is, in its most basic form, the process through which central actors choose to transfer meaningful discretionary powers to local actors and are accountable to a broad cross-section of the local population (Agrawal and Ribot, 1999). Meaningful discretion in the hands of downwardly accountable local authorities creates a public domain, while making citizenship meaningful and possible. Training attention on the logic of institutional choice and its effects on the institutions that it recognizes can help us to understand how and why local democracy is created or hindered and how we can promote democracy outcomes – the creation of a public domain, representation and engaged citizens.</w:t>
      </w:r>
    </w:p>
    <w:p w14:paraId="01EBE668" w14:textId="77777777" w:rsidR="00771F89" w:rsidRPr="00C14D50" w:rsidRDefault="00771F89" w:rsidP="00C14D50">
      <w:pPr>
        <w:pStyle w:val="Heading2"/>
        <w:spacing w:before="100" w:beforeAutospacing="1" w:after="100" w:afterAutospacing="1" w:line="360" w:lineRule="auto"/>
        <w:rPr>
          <w:rFonts w:ascii="Times New Roman" w:hAnsi="Times New Roman" w:cs="Times New Roman"/>
          <w:sz w:val="24"/>
          <w:szCs w:val="24"/>
        </w:rPr>
      </w:pPr>
      <w:r w:rsidRPr="00C14D50">
        <w:rPr>
          <w:rFonts w:ascii="Times New Roman" w:hAnsi="Times New Roman" w:cs="Times New Roman"/>
          <w:sz w:val="24"/>
          <w:szCs w:val="24"/>
        </w:rPr>
        <w:t>Acknowledgements</w:t>
      </w:r>
    </w:p>
    <w:p w14:paraId="51F2C739" w14:textId="77777777" w:rsidR="00771F89" w:rsidRPr="00C14D50" w:rsidRDefault="00771F89" w:rsidP="00C14D50">
      <w:pPr>
        <w:spacing w:before="100" w:beforeAutospacing="1" w:after="100" w:afterAutospacing="1" w:line="360" w:lineRule="auto"/>
        <w:rPr>
          <w:rStyle w:val="Hyperlink"/>
          <w:sz w:val="24"/>
          <w:szCs w:val="24"/>
          <w:lang w:eastAsia="en-GB"/>
        </w:rPr>
      </w:pPr>
      <w:r w:rsidRPr="00C14D50">
        <w:rPr>
          <w:sz w:val="24"/>
          <w:szCs w:val="24"/>
          <w:lang w:eastAsia="en-GB"/>
        </w:rPr>
        <w:t xml:space="preserve">I would like to extend sincere thanks to Daniel Brockington, Ashwini Chhatre, Anki </w:t>
      </w:r>
      <w:proofErr w:type="spellStart"/>
      <w:r w:rsidRPr="00C14D50">
        <w:rPr>
          <w:sz w:val="24"/>
          <w:szCs w:val="24"/>
          <w:lang w:eastAsia="en-GB"/>
        </w:rPr>
        <w:t>Dellnäs</w:t>
      </w:r>
      <w:proofErr w:type="spellEnd"/>
      <w:r w:rsidRPr="00C14D50">
        <w:rPr>
          <w:sz w:val="24"/>
          <w:szCs w:val="24"/>
          <w:lang w:eastAsia="en-GB"/>
        </w:rPr>
        <w:t xml:space="preserve">, Jonathan Fox, Amanda </w:t>
      </w:r>
      <w:proofErr w:type="spellStart"/>
      <w:r w:rsidRPr="00C14D50">
        <w:rPr>
          <w:sz w:val="24"/>
          <w:szCs w:val="24"/>
          <w:lang w:eastAsia="en-GB"/>
        </w:rPr>
        <w:t>Hammar</w:t>
      </w:r>
      <w:proofErr w:type="spellEnd"/>
      <w:r w:rsidRPr="00C14D50">
        <w:rPr>
          <w:sz w:val="24"/>
          <w:szCs w:val="24"/>
          <w:lang w:eastAsia="en-GB"/>
        </w:rPr>
        <w:t xml:space="preserve">, </w:t>
      </w:r>
      <w:proofErr w:type="spellStart"/>
      <w:r w:rsidRPr="00C14D50">
        <w:rPr>
          <w:sz w:val="24"/>
          <w:szCs w:val="24"/>
          <w:lang w:eastAsia="en-GB"/>
        </w:rPr>
        <w:t>Fidelx</w:t>
      </w:r>
      <w:proofErr w:type="spellEnd"/>
      <w:r w:rsidRPr="00C14D50">
        <w:rPr>
          <w:sz w:val="24"/>
          <w:szCs w:val="24"/>
          <w:lang w:eastAsia="en-GB"/>
        </w:rPr>
        <w:t xml:space="preserve"> Pious </w:t>
      </w:r>
      <w:proofErr w:type="spellStart"/>
      <w:r w:rsidRPr="00C14D50">
        <w:rPr>
          <w:sz w:val="24"/>
          <w:szCs w:val="24"/>
          <w:lang w:eastAsia="en-GB"/>
        </w:rPr>
        <w:t>Kulipossa</w:t>
      </w:r>
      <w:proofErr w:type="spellEnd"/>
      <w:r w:rsidRPr="00C14D50">
        <w:rPr>
          <w:sz w:val="24"/>
          <w:szCs w:val="24"/>
          <w:lang w:eastAsia="en-GB"/>
        </w:rPr>
        <w:t xml:space="preserve">, </w:t>
      </w:r>
      <w:proofErr w:type="spellStart"/>
      <w:r w:rsidRPr="00C14D50">
        <w:rPr>
          <w:sz w:val="24"/>
          <w:szCs w:val="24"/>
          <w:lang w:eastAsia="en-GB"/>
        </w:rPr>
        <w:t>Tomila</w:t>
      </w:r>
      <w:proofErr w:type="spellEnd"/>
      <w:r w:rsidRPr="00C14D50">
        <w:rPr>
          <w:sz w:val="24"/>
          <w:szCs w:val="24"/>
          <w:lang w:eastAsia="en-GB"/>
        </w:rPr>
        <w:t xml:space="preserve"> Lankina, Joakim </w:t>
      </w:r>
      <w:proofErr w:type="spellStart"/>
      <w:r w:rsidRPr="00C14D50">
        <w:rPr>
          <w:sz w:val="24"/>
          <w:szCs w:val="24"/>
          <w:lang w:eastAsia="en-GB"/>
        </w:rPr>
        <w:t>Öjendal</w:t>
      </w:r>
      <w:proofErr w:type="spellEnd"/>
      <w:r w:rsidRPr="00C14D50">
        <w:rPr>
          <w:sz w:val="24"/>
          <w:szCs w:val="24"/>
          <w:lang w:eastAsia="en-GB"/>
        </w:rPr>
        <w:t xml:space="preserve">, Amy Poteete, Thomas Sikor, Jacob Trane Ibsen, </w:t>
      </w:r>
      <w:proofErr w:type="spellStart"/>
      <w:r w:rsidRPr="00C14D50">
        <w:rPr>
          <w:sz w:val="24"/>
          <w:szCs w:val="24"/>
          <w:lang w:eastAsia="en-GB"/>
        </w:rPr>
        <w:t>Keebet</w:t>
      </w:r>
      <w:proofErr w:type="spellEnd"/>
      <w:r w:rsidRPr="00C14D50">
        <w:rPr>
          <w:sz w:val="24"/>
          <w:szCs w:val="24"/>
          <w:lang w:eastAsia="en-GB"/>
        </w:rPr>
        <w:t xml:space="preserve"> and Franz von Benda-Beckmann and Wang </w:t>
      </w:r>
      <w:proofErr w:type="spellStart"/>
      <w:r w:rsidRPr="00C14D50">
        <w:rPr>
          <w:sz w:val="24"/>
          <w:szCs w:val="24"/>
          <w:lang w:eastAsia="en-GB"/>
        </w:rPr>
        <w:t>Xiaoyi</w:t>
      </w:r>
      <w:proofErr w:type="spellEnd"/>
      <w:r w:rsidRPr="00C14D50">
        <w:rPr>
          <w:sz w:val="24"/>
          <w:szCs w:val="24"/>
          <w:lang w:eastAsia="en-GB"/>
        </w:rPr>
        <w:t xml:space="preserve"> for their constructive comments on earlier versions. Finance for the research behind this chapter was generously provided by the Royal Dutch Embassy in Senegal, the World Bank Program on Forestry (PROFOR) and USAID’s Economic Growth, Agriculture and Technology (EGAT) division. This chapter has developed in steps. Earlier versions have appeared as Ribot (2006, 2007, 2008) and Ribot, Chhatre and Lankina (2008). The present version is a re-edited version of Ribot (2011).</w:t>
      </w:r>
    </w:p>
    <w:p w14:paraId="69D1AC53" w14:textId="77777777" w:rsidR="00771F89" w:rsidRPr="00C14D50" w:rsidRDefault="00771F89" w:rsidP="00C14D50">
      <w:pPr>
        <w:spacing w:line="360" w:lineRule="auto"/>
        <w:rPr>
          <w:rStyle w:val="Hyperlink"/>
          <w:sz w:val="24"/>
          <w:szCs w:val="24"/>
        </w:rPr>
      </w:pPr>
    </w:p>
    <w:p w14:paraId="2BCCDC19" w14:textId="77777777" w:rsidR="00771F89" w:rsidRPr="00C14D50" w:rsidRDefault="00771F89" w:rsidP="00C14D50">
      <w:pPr>
        <w:spacing w:line="360" w:lineRule="auto"/>
        <w:rPr>
          <w:sz w:val="24"/>
          <w:szCs w:val="24"/>
        </w:rPr>
      </w:pPr>
    </w:p>
    <w:p w14:paraId="6D246CCB" w14:textId="77777777" w:rsidR="00771F89" w:rsidRPr="00C14D50" w:rsidRDefault="00771F89" w:rsidP="00C14D50">
      <w:pPr>
        <w:pStyle w:val="Heading2"/>
        <w:spacing w:before="0" w:after="0" w:line="360" w:lineRule="auto"/>
        <w:rPr>
          <w:rFonts w:ascii="Times New Roman" w:hAnsi="Times New Roman" w:cs="Times New Roman"/>
          <w:sz w:val="24"/>
          <w:szCs w:val="24"/>
        </w:rPr>
      </w:pPr>
      <w:r w:rsidRPr="00C14D50">
        <w:rPr>
          <w:rFonts w:ascii="Times New Roman" w:hAnsi="Times New Roman" w:cs="Times New Roman"/>
          <w:sz w:val="24"/>
          <w:szCs w:val="24"/>
        </w:rPr>
        <w:t>References</w:t>
      </w:r>
    </w:p>
    <w:p w14:paraId="296E8D0D" w14:textId="77777777" w:rsidR="00771F89" w:rsidRPr="00C14D50" w:rsidRDefault="00771F89" w:rsidP="00C14D50">
      <w:pPr>
        <w:tabs>
          <w:tab w:val="left" w:pos="-1440"/>
          <w:tab w:val="left" w:pos="-720"/>
          <w:tab w:val="left" w:pos="0"/>
          <w:tab w:val="left" w:pos="1274"/>
        </w:tabs>
        <w:spacing w:line="360" w:lineRule="auto"/>
        <w:rPr>
          <w:sz w:val="24"/>
          <w:szCs w:val="24"/>
        </w:rPr>
      </w:pPr>
    </w:p>
    <w:p w14:paraId="1125F561" w14:textId="77777777" w:rsidR="00771F89" w:rsidRPr="00C14D50" w:rsidRDefault="00771F89" w:rsidP="00C14D50">
      <w:pPr>
        <w:spacing w:line="360" w:lineRule="auto"/>
        <w:rPr>
          <w:sz w:val="24"/>
          <w:szCs w:val="24"/>
          <w:lang w:val="en-US"/>
        </w:rPr>
      </w:pPr>
    </w:p>
    <w:p w14:paraId="784352EA" w14:textId="77777777" w:rsidR="00771F89" w:rsidRPr="00C14D50" w:rsidRDefault="00771F89" w:rsidP="00C14D50">
      <w:pPr>
        <w:spacing w:line="360" w:lineRule="auto"/>
        <w:ind w:left="720" w:hanging="720"/>
        <w:rPr>
          <w:color w:val="000000"/>
          <w:sz w:val="24"/>
          <w:szCs w:val="24"/>
          <w:lang w:eastAsia="en-GB"/>
        </w:rPr>
      </w:pPr>
      <w:r w:rsidRPr="00C14D50">
        <w:rPr>
          <w:color w:val="000000"/>
          <w:sz w:val="24"/>
          <w:szCs w:val="24"/>
          <w:lang w:eastAsia="en-GB"/>
        </w:rPr>
        <w:t xml:space="preserve">Agrawal, A. and J. C. Ribot (1999) “Accountability in Decentralization: A Framework with South Asian and African Cases”, </w:t>
      </w:r>
      <w:r w:rsidRPr="00C14D50">
        <w:rPr>
          <w:i/>
          <w:color w:val="000000"/>
          <w:sz w:val="24"/>
          <w:szCs w:val="24"/>
          <w:lang w:eastAsia="en-GB"/>
        </w:rPr>
        <w:t>Journal of Developing Areas</w:t>
      </w:r>
      <w:r w:rsidRPr="00C14D50">
        <w:rPr>
          <w:color w:val="000000"/>
          <w:sz w:val="24"/>
          <w:szCs w:val="24"/>
          <w:lang w:eastAsia="en-GB"/>
        </w:rPr>
        <w:t xml:space="preserve"> 33: 473–502.</w:t>
      </w:r>
    </w:p>
    <w:p w14:paraId="49D0E28E"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Agrawal, A. and K. Gupta (2005) “Decentralization and Participation: The Governance of Common Pool Resources in Nepal’s Terai”, </w:t>
      </w:r>
      <w:r w:rsidRPr="00C14D50">
        <w:rPr>
          <w:i/>
          <w:sz w:val="24"/>
          <w:szCs w:val="24"/>
          <w:lang w:eastAsia="en-GB"/>
        </w:rPr>
        <w:t>World Development</w:t>
      </w:r>
      <w:r w:rsidRPr="00C14D50">
        <w:rPr>
          <w:sz w:val="24"/>
          <w:szCs w:val="24"/>
          <w:lang w:eastAsia="en-GB"/>
        </w:rPr>
        <w:t xml:space="preserve"> 33(7): 1101–1114.</w:t>
      </w:r>
    </w:p>
    <w:p w14:paraId="6D902BB0" w14:textId="77777777" w:rsidR="00771F89" w:rsidRPr="00C14D50" w:rsidRDefault="00771F89" w:rsidP="00C14D50">
      <w:pPr>
        <w:spacing w:line="360" w:lineRule="auto"/>
        <w:ind w:left="720" w:hanging="720"/>
        <w:rPr>
          <w:color w:val="000000"/>
          <w:sz w:val="24"/>
          <w:szCs w:val="24"/>
          <w:lang w:eastAsia="en-GB"/>
        </w:rPr>
      </w:pPr>
      <w:proofErr w:type="spellStart"/>
      <w:r w:rsidRPr="00C14D50">
        <w:rPr>
          <w:sz w:val="24"/>
          <w:szCs w:val="24"/>
          <w:lang w:eastAsia="en-GB"/>
        </w:rPr>
        <w:lastRenderedPageBreak/>
        <w:t>Bandiaky</w:t>
      </w:r>
      <w:proofErr w:type="spellEnd"/>
      <w:r w:rsidRPr="00C14D50">
        <w:rPr>
          <w:sz w:val="24"/>
          <w:szCs w:val="24"/>
          <w:lang w:eastAsia="en-GB"/>
        </w:rPr>
        <w:t xml:space="preserve">, S. (2008) “Gender Inequality in </w:t>
      </w:r>
      <w:proofErr w:type="spellStart"/>
      <w:r w:rsidRPr="00C14D50">
        <w:rPr>
          <w:sz w:val="24"/>
          <w:szCs w:val="24"/>
          <w:lang w:eastAsia="en-GB"/>
        </w:rPr>
        <w:t>Malidino</w:t>
      </w:r>
      <w:proofErr w:type="spellEnd"/>
      <w:r w:rsidRPr="00C14D50">
        <w:rPr>
          <w:sz w:val="24"/>
          <w:szCs w:val="24"/>
          <w:lang w:eastAsia="en-GB"/>
        </w:rPr>
        <w:t xml:space="preserve"> Biodiversity Reserve, Senegal: Political Parties and the ‘Village Approach’”, </w:t>
      </w:r>
      <w:r w:rsidRPr="00C14D50">
        <w:rPr>
          <w:i/>
          <w:iCs/>
          <w:sz w:val="24"/>
          <w:szCs w:val="24"/>
          <w:lang w:eastAsia="en-GB"/>
        </w:rPr>
        <w:t>Conservation and Society</w:t>
      </w:r>
      <w:r w:rsidRPr="00C14D50">
        <w:rPr>
          <w:sz w:val="24"/>
          <w:szCs w:val="24"/>
          <w:lang w:eastAsia="en-GB"/>
        </w:rPr>
        <w:t xml:space="preserve"> 6(1): 62–73.</w:t>
      </w:r>
    </w:p>
    <w:p w14:paraId="4EE8F16D"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Bardhan, P. and D. </w:t>
      </w:r>
      <w:proofErr w:type="spellStart"/>
      <w:r w:rsidRPr="00C14D50">
        <w:rPr>
          <w:sz w:val="24"/>
          <w:szCs w:val="24"/>
          <w:lang w:eastAsia="en-GB"/>
        </w:rPr>
        <w:t>Mookherjee</w:t>
      </w:r>
      <w:proofErr w:type="spellEnd"/>
      <w:r w:rsidRPr="00C14D50">
        <w:rPr>
          <w:sz w:val="24"/>
          <w:szCs w:val="24"/>
          <w:lang w:eastAsia="en-GB"/>
        </w:rPr>
        <w:t xml:space="preserve"> (eds) (2006) </w:t>
      </w:r>
      <w:r w:rsidRPr="00C14D50">
        <w:rPr>
          <w:i/>
          <w:sz w:val="24"/>
          <w:szCs w:val="24"/>
          <w:lang w:eastAsia="en-GB"/>
        </w:rPr>
        <w:t>Decentralization and Local Governance in Developing Countries</w:t>
      </w:r>
      <w:r w:rsidRPr="00C14D50">
        <w:rPr>
          <w:sz w:val="24"/>
          <w:szCs w:val="24"/>
          <w:lang w:eastAsia="en-GB"/>
        </w:rPr>
        <w:t>. Cambridge, MA: MIT Press.</w:t>
      </w:r>
    </w:p>
    <w:p w14:paraId="5982D16A" w14:textId="77777777" w:rsidR="00771F89" w:rsidRPr="00C14D50" w:rsidRDefault="00771F89" w:rsidP="00C14D50">
      <w:pPr>
        <w:spacing w:line="360" w:lineRule="auto"/>
        <w:ind w:left="720" w:hanging="720"/>
        <w:rPr>
          <w:sz w:val="24"/>
          <w:szCs w:val="24"/>
          <w:lang w:eastAsia="en-GB"/>
        </w:rPr>
      </w:pPr>
      <w:r w:rsidRPr="00C14D50">
        <w:rPr>
          <w:sz w:val="24"/>
          <w:szCs w:val="24"/>
          <w:lang w:val="en-US"/>
        </w:rPr>
        <w:t xml:space="preserve">Baruah, M., 2015, Effects of institutional choices on representation in a </w:t>
      </w:r>
      <w:proofErr w:type="gramStart"/>
      <w:r w:rsidRPr="00C14D50">
        <w:rPr>
          <w:sz w:val="24"/>
          <w:szCs w:val="24"/>
          <w:lang w:val="en-US"/>
        </w:rPr>
        <w:t>community  resource</w:t>
      </w:r>
      <w:proofErr w:type="gramEnd"/>
      <w:r w:rsidRPr="00C14D50">
        <w:rPr>
          <w:sz w:val="24"/>
          <w:szCs w:val="24"/>
          <w:lang w:val="en-US"/>
        </w:rPr>
        <w:t xml:space="preserve"> management area in Ghana. Responsive Forest Governance Initiative (RFGI) Working Paper </w:t>
      </w:r>
      <w:proofErr w:type="gramStart"/>
      <w:r w:rsidRPr="00C14D50">
        <w:rPr>
          <w:sz w:val="24"/>
          <w:szCs w:val="24"/>
          <w:lang w:val="en-US"/>
        </w:rPr>
        <w:t>Series,  Dakar</w:t>
      </w:r>
      <w:proofErr w:type="gramEnd"/>
      <w:r w:rsidRPr="00C14D50">
        <w:rPr>
          <w:sz w:val="24"/>
          <w:szCs w:val="24"/>
          <w:lang w:val="en-US"/>
        </w:rPr>
        <w:t>: CODESRIA.</w:t>
      </w:r>
    </w:p>
    <w:p w14:paraId="0AA8C227" w14:textId="77777777" w:rsidR="00771F89" w:rsidRPr="00C14D50" w:rsidRDefault="00771F89" w:rsidP="00C14D50">
      <w:pPr>
        <w:spacing w:line="360" w:lineRule="auto"/>
        <w:ind w:left="720" w:hanging="720"/>
        <w:rPr>
          <w:sz w:val="24"/>
          <w:szCs w:val="24"/>
          <w:lang w:eastAsia="en-GB"/>
        </w:rPr>
      </w:pPr>
      <w:r w:rsidRPr="00C14D50">
        <w:rPr>
          <w:color w:val="000000"/>
          <w:sz w:val="24"/>
          <w:szCs w:val="24"/>
          <w:lang w:eastAsia="en-GB"/>
        </w:rPr>
        <w:t xml:space="preserve">Bates, R. (1981) </w:t>
      </w:r>
      <w:r w:rsidRPr="00C14D50">
        <w:rPr>
          <w:i/>
          <w:color w:val="000000"/>
          <w:sz w:val="24"/>
          <w:szCs w:val="24"/>
          <w:lang w:eastAsia="en-GB"/>
        </w:rPr>
        <w:t>Markets and States in Tropical Africa</w:t>
      </w:r>
      <w:r w:rsidRPr="00C14D50">
        <w:rPr>
          <w:color w:val="000000"/>
          <w:sz w:val="24"/>
          <w:szCs w:val="24"/>
          <w:lang w:eastAsia="en-GB"/>
        </w:rPr>
        <w:t xml:space="preserve">. </w:t>
      </w:r>
      <w:r w:rsidRPr="00C14D50">
        <w:rPr>
          <w:sz w:val="24"/>
          <w:szCs w:val="24"/>
          <w:lang w:eastAsia="en-GB"/>
        </w:rPr>
        <w:t>Berkeley: University of California Press.</w:t>
      </w:r>
    </w:p>
    <w:p w14:paraId="072D0233" w14:textId="77777777" w:rsidR="00771F89" w:rsidRPr="00C14D50" w:rsidRDefault="00771F89" w:rsidP="00C14D50">
      <w:pPr>
        <w:tabs>
          <w:tab w:val="left" w:pos="-720"/>
          <w:tab w:val="left" w:pos="0"/>
        </w:tabs>
        <w:spacing w:line="360" w:lineRule="auto"/>
        <w:ind w:left="720" w:hanging="720"/>
        <w:rPr>
          <w:sz w:val="24"/>
          <w:szCs w:val="24"/>
          <w:lang w:eastAsia="en-GB"/>
        </w:rPr>
      </w:pPr>
      <w:r w:rsidRPr="00C14D50">
        <w:rPr>
          <w:sz w:val="24"/>
          <w:szCs w:val="24"/>
          <w:lang w:eastAsia="en-GB"/>
        </w:rPr>
        <w:t xml:space="preserve">Benda-Beckmann, F. von and K. von Benda-Beckmann (2006) “Changing One Is Changing All: Dynamics in the </w:t>
      </w:r>
      <w:proofErr w:type="spellStart"/>
      <w:r w:rsidRPr="00C14D50">
        <w:rPr>
          <w:sz w:val="24"/>
          <w:szCs w:val="24"/>
          <w:lang w:eastAsia="en-GB"/>
        </w:rPr>
        <w:t>Adat</w:t>
      </w:r>
      <w:proofErr w:type="spellEnd"/>
      <w:r w:rsidRPr="00C14D50">
        <w:rPr>
          <w:sz w:val="24"/>
          <w:szCs w:val="24"/>
          <w:lang w:eastAsia="en-GB"/>
        </w:rPr>
        <w:t xml:space="preserve">–Islam–State Triangle”, </w:t>
      </w:r>
      <w:r w:rsidRPr="00C14D50">
        <w:rPr>
          <w:i/>
          <w:iCs/>
          <w:sz w:val="24"/>
          <w:szCs w:val="24"/>
          <w:lang w:eastAsia="en-GB"/>
        </w:rPr>
        <w:t>Journal of Legal Pluralism and Unofficial Law</w:t>
      </w:r>
      <w:r w:rsidRPr="00C14D50">
        <w:rPr>
          <w:iCs/>
          <w:sz w:val="24"/>
          <w:szCs w:val="24"/>
          <w:lang w:eastAsia="en-GB"/>
        </w:rPr>
        <w:t xml:space="preserve"> 53(4):</w:t>
      </w:r>
      <w:r w:rsidRPr="00C14D50">
        <w:rPr>
          <w:sz w:val="24"/>
          <w:szCs w:val="24"/>
          <w:lang w:eastAsia="en-GB"/>
        </w:rPr>
        <w:t xml:space="preserve"> 239–270.</w:t>
      </w:r>
    </w:p>
    <w:p w14:paraId="64BA228F" w14:textId="77777777" w:rsidR="00771F89" w:rsidRPr="00C14D50" w:rsidRDefault="00771F89" w:rsidP="00C14D50">
      <w:pPr>
        <w:spacing w:line="360" w:lineRule="auto"/>
        <w:ind w:left="720" w:hanging="720"/>
        <w:rPr>
          <w:bCs/>
          <w:sz w:val="24"/>
          <w:szCs w:val="24"/>
          <w:lang w:eastAsia="en-GB"/>
        </w:rPr>
      </w:pPr>
      <w:r w:rsidRPr="00C14D50">
        <w:rPr>
          <w:bCs/>
          <w:sz w:val="24"/>
          <w:szCs w:val="24"/>
          <w:lang w:eastAsia="en-GB"/>
        </w:rPr>
        <w:t xml:space="preserve">Benda-Beckmann, F. von, K. von Benda-Beckmann, J. Eckert, F. Pirie and B. Turner (2003) “Vitality and Revitalisation of Tradition in Law: Going Back into the Past or Future-oriented Development?”, in </w:t>
      </w:r>
      <w:r w:rsidRPr="00C14D50">
        <w:rPr>
          <w:rStyle w:val="freearea0p8"/>
          <w:sz w:val="24"/>
          <w:szCs w:val="24"/>
        </w:rPr>
        <w:t xml:space="preserve">G. </w:t>
      </w:r>
      <w:proofErr w:type="spellStart"/>
      <w:r w:rsidRPr="00C14D50">
        <w:rPr>
          <w:rStyle w:val="freearea0p8"/>
          <w:sz w:val="24"/>
          <w:szCs w:val="24"/>
        </w:rPr>
        <w:t>Schlee</w:t>
      </w:r>
      <w:proofErr w:type="spellEnd"/>
      <w:r w:rsidRPr="00C14D50">
        <w:rPr>
          <w:rStyle w:val="freearea0p8"/>
          <w:sz w:val="24"/>
          <w:szCs w:val="24"/>
        </w:rPr>
        <w:t xml:space="preserve"> and B. Mann (eds)</w:t>
      </w:r>
      <w:r w:rsidRPr="00C14D50">
        <w:rPr>
          <w:bCs/>
          <w:sz w:val="24"/>
          <w:szCs w:val="24"/>
          <w:lang w:eastAsia="en-GB"/>
        </w:rPr>
        <w:t xml:space="preserve"> </w:t>
      </w:r>
      <w:r w:rsidRPr="00C14D50">
        <w:rPr>
          <w:bCs/>
          <w:i/>
          <w:iCs/>
          <w:sz w:val="24"/>
          <w:szCs w:val="24"/>
          <w:lang w:eastAsia="en-GB"/>
        </w:rPr>
        <w:t>Max Planck Institute for Social Anthropology Report 2002–2003</w:t>
      </w:r>
      <w:r w:rsidRPr="00C14D50">
        <w:rPr>
          <w:bCs/>
          <w:sz w:val="24"/>
          <w:szCs w:val="24"/>
          <w:lang w:eastAsia="en-GB"/>
        </w:rPr>
        <w:t>. Halle: Max Planck Institute for Social Anthropology, pp. 296–306.</w:t>
      </w:r>
    </w:p>
    <w:p w14:paraId="53CCC574"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Boone, C. (2003) </w:t>
      </w:r>
      <w:r w:rsidRPr="00C14D50">
        <w:rPr>
          <w:i/>
          <w:sz w:val="24"/>
          <w:szCs w:val="24"/>
          <w:lang w:eastAsia="en-GB"/>
        </w:rPr>
        <w:t>Political Topographies of the African State: Territorial Authority and Institutional Choice</w:t>
      </w:r>
      <w:r w:rsidRPr="00C14D50">
        <w:rPr>
          <w:sz w:val="24"/>
          <w:szCs w:val="24"/>
          <w:lang w:eastAsia="en-GB"/>
        </w:rPr>
        <w:t>. Cambridge: Cambridge University Press.</w:t>
      </w:r>
    </w:p>
    <w:p w14:paraId="71BFD67E" w14:textId="77777777" w:rsidR="00771F89" w:rsidRPr="00C14D50" w:rsidRDefault="00771F89" w:rsidP="00C14D50">
      <w:pPr>
        <w:tabs>
          <w:tab w:val="left" w:pos="-720"/>
          <w:tab w:val="left" w:pos="0"/>
        </w:tabs>
        <w:spacing w:line="360" w:lineRule="auto"/>
        <w:ind w:left="720" w:hanging="720"/>
        <w:rPr>
          <w:sz w:val="24"/>
          <w:szCs w:val="24"/>
          <w:lang w:eastAsia="en-GB"/>
        </w:rPr>
      </w:pPr>
      <w:proofErr w:type="spellStart"/>
      <w:r w:rsidRPr="00C14D50">
        <w:rPr>
          <w:sz w:val="24"/>
          <w:szCs w:val="24"/>
          <w:lang w:eastAsia="en-GB"/>
        </w:rPr>
        <w:t>Chanock</w:t>
      </w:r>
      <w:proofErr w:type="spellEnd"/>
      <w:r w:rsidRPr="00C14D50">
        <w:rPr>
          <w:sz w:val="24"/>
          <w:szCs w:val="24"/>
          <w:lang w:eastAsia="en-GB"/>
        </w:rPr>
        <w:t xml:space="preserve">, M. (1991) “Paradigms, Policies, and Property: A Review of the Customary Law of Land Tenure”, in K. Mann and R. Roberts (eds) </w:t>
      </w:r>
      <w:r w:rsidRPr="00C14D50">
        <w:rPr>
          <w:i/>
          <w:sz w:val="24"/>
          <w:szCs w:val="24"/>
          <w:lang w:eastAsia="en-GB"/>
        </w:rPr>
        <w:t>Law in Colonial Africa</w:t>
      </w:r>
      <w:r w:rsidRPr="00C14D50">
        <w:rPr>
          <w:sz w:val="24"/>
          <w:szCs w:val="24"/>
          <w:lang w:eastAsia="en-GB"/>
        </w:rPr>
        <w:t>. Portsmouth, NH: Heinemann, pp. 61–84.</w:t>
      </w:r>
    </w:p>
    <w:p w14:paraId="67949A6E" w14:textId="77777777" w:rsidR="00771F89" w:rsidRPr="00C14D50" w:rsidRDefault="00771F89" w:rsidP="00C14D50">
      <w:pPr>
        <w:tabs>
          <w:tab w:val="left" w:pos="-720"/>
          <w:tab w:val="left" w:pos="0"/>
        </w:tabs>
        <w:spacing w:line="360" w:lineRule="auto"/>
        <w:ind w:left="720" w:hanging="720"/>
        <w:rPr>
          <w:sz w:val="24"/>
          <w:szCs w:val="24"/>
          <w:lang w:eastAsia="en-GB"/>
        </w:rPr>
      </w:pPr>
      <w:r w:rsidRPr="00C14D50">
        <w:rPr>
          <w:sz w:val="24"/>
          <w:szCs w:val="24"/>
          <w:lang w:eastAsia="en-GB"/>
        </w:rPr>
        <w:t xml:space="preserve">Chhatre, A. (2008) “Political Articulation and Accountability in Decentralization: Theory and Evidence from India”, </w:t>
      </w:r>
      <w:r w:rsidRPr="00C14D50">
        <w:rPr>
          <w:i/>
          <w:iCs/>
          <w:sz w:val="24"/>
          <w:szCs w:val="24"/>
          <w:lang w:eastAsia="en-GB"/>
        </w:rPr>
        <w:t>Conservation and Society</w:t>
      </w:r>
      <w:r w:rsidRPr="00C14D50">
        <w:rPr>
          <w:iCs/>
          <w:sz w:val="24"/>
          <w:szCs w:val="24"/>
          <w:lang w:eastAsia="en-GB"/>
        </w:rPr>
        <w:t xml:space="preserve"> 6(1):</w:t>
      </w:r>
      <w:r w:rsidRPr="00C14D50">
        <w:rPr>
          <w:sz w:val="24"/>
          <w:szCs w:val="24"/>
          <w:lang w:eastAsia="en-GB"/>
        </w:rPr>
        <w:t xml:space="preserve"> 12–23.</w:t>
      </w:r>
    </w:p>
    <w:p w14:paraId="4AF55523" w14:textId="77777777" w:rsidR="00771F89" w:rsidRPr="00C14D50" w:rsidRDefault="00771F89" w:rsidP="00C14D50">
      <w:pPr>
        <w:tabs>
          <w:tab w:val="left" w:pos="-720"/>
          <w:tab w:val="left" w:pos="0"/>
        </w:tabs>
        <w:spacing w:line="360" w:lineRule="auto"/>
        <w:ind w:left="720" w:hanging="720"/>
        <w:rPr>
          <w:sz w:val="24"/>
          <w:szCs w:val="24"/>
          <w:lang w:eastAsia="en-GB"/>
        </w:rPr>
      </w:pPr>
      <w:proofErr w:type="spellStart"/>
      <w:r w:rsidRPr="00C14D50">
        <w:rPr>
          <w:sz w:val="24"/>
          <w:szCs w:val="24"/>
          <w:lang w:val="en-US"/>
        </w:rPr>
        <w:t>Chomba</w:t>
      </w:r>
      <w:proofErr w:type="spellEnd"/>
      <w:r w:rsidRPr="00C14D50">
        <w:rPr>
          <w:sz w:val="24"/>
          <w:szCs w:val="24"/>
          <w:lang w:val="en-US"/>
        </w:rPr>
        <w:t xml:space="preserve">, S., 2015a, REDD+ institutional choices and the implications for local democracy in the </w:t>
      </w:r>
      <w:proofErr w:type="spellStart"/>
      <w:r w:rsidRPr="00C14D50">
        <w:rPr>
          <w:sz w:val="24"/>
          <w:szCs w:val="24"/>
          <w:lang w:val="en-US"/>
        </w:rPr>
        <w:t>Kasigau</w:t>
      </w:r>
      <w:proofErr w:type="spellEnd"/>
      <w:r w:rsidRPr="00C14D50">
        <w:rPr>
          <w:sz w:val="24"/>
          <w:szCs w:val="24"/>
          <w:lang w:val="en-US"/>
        </w:rPr>
        <w:t xml:space="preserve"> Corridor, Kenya. RFGI Working Paper No. 16. Responsive Forest Governance Initiative (RFGI) Working Paper </w:t>
      </w:r>
      <w:proofErr w:type="gramStart"/>
      <w:r w:rsidRPr="00C14D50">
        <w:rPr>
          <w:sz w:val="24"/>
          <w:szCs w:val="24"/>
          <w:lang w:val="en-US"/>
        </w:rPr>
        <w:t>Series ,</w:t>
      </w:r>
      <w:proofErr w:type="gramEnd"/>
      <w:r w:rsidRPr="00C14D50">
        <w:rPr>
          <w:sz w:val="24"/>
          <w:szCs w:val="24"/>
          <w:lang w:val="en-US"/>
        </w:rPr>
        <w:t xml:space="preserve"> Dakar: CODESRIA. Available at: </w:t>
      </w:r>
      <w:hyperlink r:id="rId11" w:history="1">
        <w:r w:rsidRPr="00C14D50">
          <w:rPr>
            <w:rStyle w:val="Hyperlink"/>
            <w:sz w:val="24"/>
            <w:szCs w:val="24"/>
            <w:lang w:val="en-US"/>
          </w:rPr>
          <w:t>https://sdep</w:t>
        </w:r>
      </w:hyperlink>
      <w:r w:rsidRPr="00C14D50">
        <w:rPr>
          <w:sz w:val="24"/>
          <w:szCs w:val="24"/>
          <w:lang w:val="en-US"/>
        </w:rPr>
        <w:t>. earth.illinois.edu/files/RFGI_Working_Papers/16_Susan%20Chomba.pdf.</w:t>
      </w:r>
    </w:p>
    <w:p w14:paraId="40CFFE20" w14:textId="77777777" w:rsidR="00771F89" w:rsidRPr="00C14D50" w:rsidRDefault="00771F89" w:rsidP="00C14D50">
      <w:pPr>
        <w:spacing w:line="360" w:lineRule="auto"/>
        <w:ind w:left="720" w:hanging="720"/>
        <w:rPr>
          <w:color w:val="000000"/>
          <w:sz w:val="24"/>
          <w:szCs w:val="24"/>
          <w:lang w:eastAsia="en-GB"/>
        </w:rPr>
      </w:pPr>
      <w:r w:rsidRPr="00C14D50">
        <w:rPr>
          <w:color w:val="000000"/>
          <w:sz w:val="24"/>
          <w:szCs w:val="24"/>
          <w:lang w:eastAsia="en-GB"/>
        </w:rPr>
        <w:t xml:space="preserve">Conyers, D. (2002) “Whose Elephants Are They? Decentralization of Control over Wildlife Management through the CAMPFIRE Programme in </w:t>
      </w:r>
      <w:proofErr w:type="spellStart"/>
      <w:r w:rsidRPr="00C14D50">
        <w:rPr>
          <w:color w:val="000000"/>
          <w:sz w:val="24"/>
          <w:szCs w:val="24"/>
          <w:lang w:eastAsia="en-GB"/>
        </w:rPr>
        <w:t>Binga</w:t>
      </w:r>
      <w:proofErr w:type="spellEnd"/>
      <w:r w:rsidRPr="00C14D50">
        <w:rPr>
          <w:color w:val="000000"/>
          <w:sz w:val="24"/>
          <w:szCs w:val="24"/>
          <w:lang w:eastAsia="en-GB"/>
        </w:rPr>
        <w:t xml:space="preserve"> District, Zimbabwe”, Environmental Governance in Africa Working Paper No. 4. Washington, DC: World Resources Institute.</w:t>
      </w:r>
    </w:p>
    <w:p w14:paraId="0654E65F" w14:textId="77777777" w:rsidR="00771F89" w:rsidRPr="00C14D50" w:rsidRDefault="00771F89" w:rsidP="00C14D50">
      <w:pPr>
        <w:spacing w:line="360" w:lineRule="auto"/>
        <w:ind w:left="720" w:hanging="720"/>
        <w:rPr>
          <w:color w:val="000000"/>
          <w:sz w:val="24"/>
          <w:szCs w:val="24"/>
          <w:lang w:eastAsia="en-GB"/>
        </w:rPr>
      </w:pPr>
      <w:r w:rsidRPr="00C14D50">
        <w:rPr>
          <w:color w:val="000000"/>
          <w:sz w:val="24"/>
          <w:szCs w:val="24"/>
          <w:lang w:eastAsia="en-GB"/>
        </w:rPr>
        <w:lastRenderedPageBreak/>
        <w:t xml:space="preserve">Crook, R. C. and A. S. </w:t>
      </w:r>
      <w:proofErr w:type="spellStart"/>
      <w:r w:rsidRPr="00C14D50">
        <w:rPr>
          <w:color w:val="000000"/>
          <w:sz w:val="24"/>
          <w:szCs w:val="24"/>
          <w:lang w:eastAsia="en-GB"/>
        </w:rPr>
        <w:t>Sverrisson</w:t>
      </w:r>
      <w:proofErr w:type="spellEnd"/>
      <w:r w:rsidRPr="00C14D50">
        <w:rPr>
          <w:color w:val="000000"/>
          <w:sz w:val="24"/>
          <w:szCs w:val="24"/>
          <w:lang w:eastAsia="en-GB"/>
        </w:rPr>
        <w:t xml:space="preserve"> (2001) </w:t>
      </w:r>
      <w:r w:rsidRPr="00C14D50">
        <w:rPr>
          <w:i/>
          <w:color w:val="000000"/>
          <w:sz w:val="24"/>
          <w:szCs w:val="24"/>
          <w:lang w:eastAsia="en-GB"/>
        </w:rPr>
        <w:t xml:space="preserve">Decentralisation and Poverty-alleviation in Developing Countries: A Comparative Analysis or, Is West Bengal </w:t>
      </w:r>
      <w:proofErr w:type="gramStart"/>
      <w:r w:rsidRPr="00C14D50">
        <w:rPr>
          <w:i/>
          <w:color w:val="000000"/>
          <w:sz w:val="24"/>
          <w:szCs w:val="24"/>
          <w:lang w:eastAsia="en-GB"/>
        </w:rPr>
        <w:t>Unique?</w:t>
      </w:r>
      <w:r w:rsidRPr="00C14D50">
        <w:rPr>
          <w:color w:val="000000"/>
          <w:sz w:val="24"/>
          <w:szCs w:val="24"/>
          <w:lang w:eastAsia="en-GB"/>
        </w:rPr>
        <w:t>,</w:t>
      </w:r>
      <w:proofErr w:type="gramEnd"/>
      <w:r w:rsidRPr="00C14D50">
        <w:rPr>
          <w:color w:val="000000"/>
          <w:sz w:val="24"/>
          <w:szCs w:val="24"/>
          <w:lang w:eastAsia="en-GB"/>
        </w:rPr>
        <w:t xml:space="preserve"> IDS Working Paper 130. Brighton: Institute of Development Studies.</w:t>
      </w:r>
    </w:p>
    <w:p w14:paraId="02168EB3" w14:textId="77777777" w:rsidR="00771F89" w:rsidRPr="00C14D50" w:rsidRDefault="00771F89" w:rsidP="00C14D50">
      <w:pPr>
        <w:spacing w:line="360" w:lineRule="auto"/>
        <w:ind w:left="720" w:hanging="720"/>
        <w:rPr>
          <w:i/>
          <w:color w:val="000000"/>
          <w:sz w:val="24"/>
          <w:szCs w:val="24"/>
          <w:lang w:eastAsia="en-GB"/>
        </w:rPr>
      </w:pPr>
      <w:r w:rsidRPr="00C14D50">
        <w:rPr>
          <w:color w:val="000000"/>
          <w:sz w:val="24"/>
          <w:szCs w:val="24"/>
          <w:lang w:eastAsia="en-GB"/>
        </w:rPr>
        <w:t xml:space="preserve">Crook, R. C. and J. Manor (1998) </w:t>
      </w:r>
      <w:r w:rsidRPr="00C14D50">
        <w:rPr>
          <w:i/>
          <w:color w:val="000000"/>
          <w:sz w:val="24"/>
          <w:szCs w:val="24"/>
          <w:lang w:eastAsia="en-GB"/>
        </w:rPr>
        <w:t>Democracy and Decentralization in Southeast Asia and West Africa: Participation, Accountability, and Performance</w:t>
      </w:r>
      <w:r w:rsidRPr="00C14D50">
        <w:rPr>
          <w:color w:val="000000"/>
          <w:sz w:val="24"/>
          <w:szCs w:val="24"/>
          <w:lang w:eastAsia="en-GB"/>
        </w:rPr>
        <w:t>. Cambridge:</w:t>
      </w:r>
      <w:r w:rsidRPr="00C14D50">
        <w:rPr>
          <w:i/>
          <w:color w:val="000000"/>
          <w:sz w:val="24"/>
          <w:szCs w:val="24"/>
          <w:lang w:eastAsia="en-GB"/>
        </w:rPr>
        <w:t xml:space="preserve"> </w:t>
      </w:r>
      <w:r w:rsidRPr="00C14D50">
        <w:rPr>
          <w:color w:val="000000"/>
          <w:sz w:val="24"/>
          <w:szCs w:val="24"/>
          <w:lang w:eastAsia="en-GB"/>
        </w:rPr>
        <w:t>Cambridge University Press.</w:t>
      </w:r>
    </w:p>
    <w:p w14:paraId="366D27BE" w14:textId="77777777" w:rsidR="00771F89" w:rsidRPr="00C14D50" w:rsidRDefault="00771F89" w:rsidP="00C14D50">
      <w:pPr>
        <w:spacing w:line="360" w:lineRule="auto"/>
        <w:ind w:left="720" w:hanging="720"/>
        <w:rPr>
          <w:i/>
          <w:color w:val="000000"/>
          <w:sz w:val="24"/>
          <w:szCs w:val="24"/>
          <w:lang w:eastAsia="en-GB"/>
        </w:rPr>
      </w:pPr>
      <w:proofErr w:type="spellStart"/>
      <w:r w:rsidRPr="00C14D50">
        <w:rPr>
          <w:sz w:val="24"/>
          <w:szCs w:val="24"/>
          <w:lang w:val="en-US"/>
        </w:rPr>
        <w:t>Ece</w:t>
      </w:r>
      <w:proofErr w:type="spellEnd"/>
      <w:r w:rsidRPr="00C14D50">
        <w:rPr>
          <w:sz w:val="24"/>
          <w:szCs w:val="24"/>
          <w:lang w:val="en-US"/>
        </w:rPr>
        <w:t>, M., 2015, Representation through privatization: Regionalization of forest governance in Tambacounda, Senegal. Responsive Forest Governance Initiative (RFGI) Working Paper Series, Dakar: CODESRIA.</w:t>
      </w:r>
    </w:p>
    <w:p w14:paraId="149A7F24" w14:textId="77777777" w:rsidR="00771F89" w:rsidRPr="00C14D50" w:rsidRDefault="00771F89" w:rsidP="00C14D50">
      <w:pPr>
        <w:spacing w:line="360" w:lineRule="auto"/>
        <w:ind w:left="720" w:hanging="720"/>
        <w:rPr>
          <w:i/>
          <w:color w:val="000000"/>
          <w:sz w:val="24"/>
          <w:szCs w:val="24"/>
          <w:lang w:eastAsia="en-GB"/>
        </w:rPr>
      </w:pPr>
      <w:proofErr w:type="spellStart"/>
      <w:r w:rsidRPr="00C14D50">
        <w:rPr>
          <w:sz w:val="24"/>
          <w:szCs w:val="24"/>
        </w:rPr>
        <w:t>Ece</w:t>
      </w:r>
      <w:proofErr w:type="spellEnd"/>
      <w:r w:rsidRPr="00C14D50">
        <w:rPr>
          <w:sz w:val="24"/>
          <w:szCs w:val="24"/>
        </w:rPr>
        <w:t xml:space="preserve">, </w:t>
      </w:r>
      <w:proofErr w:type="spellStart"/>
      <w:r w:rsidRPr="00C14D50">
        <w:rPr>
          <w:sz w:val="24"/>
          <w:szCs w:val="24"/>
        </w:rPr>
        <w:t>Melis</w:t>
      </w:r>
      <w:proofErr w:type="spellEnd"/>
      <w:r w:rsidRPr="00C14D50">
        <w:rPr>
          <w:sz w:val="24"/>
          <w:szCs w:val="24"/>
        </w:rPr>
        <w:t>, James Murombedzi and J. Ribot. 2017. “</w:t>
      </w:r>
      <w:r w:rsidRPr="00C14D50">
        <w:rPr>
          <w:color w:val="222222"/>
          <w:sz w:val="24"/>
          <w:szCs w:val="24"/>
          <w:shd w:val="clear" w:color="auto" w:fill="FFFFFF"/>
        </w:rPr>
        <w:t>Disempowering Democracy: Local Representation in Community and Carbon Forestry in Africa,</w:t>
      </w:r>
      <w:r w:rsidRPr="00C14D50">
        <w:rPr>
          <w:sz w:val="24"/>
          <w:szCs w:val="24"/>
        </w:rPr>
        <w:t xml:space="preserve">” </w:t>
      </w:r>
      <w:r w:rsidRPr="00C14D50">
        <w:rPr>
          <w:i/>
          <w:sz w:val="24"/>
          <w:szCs w:val="24"/>
        </w:rPr>
        <w:t>Conservation and Society</w:t>
      </w:r>
      <w:r w:rsidRPr="00C14D50">
        <w:rPr>
          <w:sz w:val="24"/>
          <w:szCs w:val="24"/>
        </w:rPr>
        <w:t xml:space="preserve">. 15(4): 357-370. Editor’s Introduction of Special Issue on Rights, Representation and REDD+. This is a collection of seven articles from seven researchers in my recent five-year thirteen-country comparative research program the Responsive Forest Governance Initiative (RFGI). </w:t>
      </w:r>
      <w:hyperlink r:id="rId12" w:history="1">
        <w:r w:rsidRPr="00C14D50">
          <w:rPr>
            <w:rStyle w:val="Hyperlink"/>
            <w:sz w:val="24"/>
            <w:szCs w:val="24"/>
          </w:rPr>
          <w:t>https://doi.org/10.4103/cs.cs_16_103</w:t>
        </w:r>
      </w:hyperlink>
    </w:p>
    <w:p w14:paraId="060C4DC4" w14:textId="77777777" w:rsidR="00771F89" w:rsidRPr="00C14D50" w:rsidRDefault="00771F89" w:rsidP="00C14D50">
      <w:pPr>
        <w:spacing w:line="360" w:lineRule="auto"/>
        <w:ind w:left="720" w:hanging="720"/>
        <w:rPr>
          <w:sz w:val="24"/>
          <w:szCs w:val="24"/>
          <w:lang w:eastAsia="en-GB"/>
        </w:rPr>
      </w:pPr>
      <w:r w:rsidRPr="00C14D50">
        <w:rPr>
          <w:color w:val="000000"/>
          <w:sz w:val="24"/>
          <w:szCs w:val="24"/>
          <w:lang w:eastAsia="en-GB"/>
        </w:rPr>
        <w:t xml:space="preserve">Eckert, J. (2006) “From Subjects to Citizens: Legalism from Below and the Homogenisation of the Legal Sphere”, </w:t>
      </w:r>
      <w:r w:rsidRPr="00C14D50">
        <w:rPr>
          <w:i/>
          <w:iCs/>
          <w:sz w:val="24"/>
          <w:szCs w:val="24"/>
          <w:lang w:eastAsia="en-GB"/>
        </w:rPr>
        <w:t>Journal of Legal Pluralism and Unofficial Law</w:t>
      </w:r>
      <w:r w:rsidRPr="00C14D50">
        <w:rPr>
          <w:iCs/>
          <w:sz w:val="24"/>
          <w:szCs w:val="24"/>
          <w:lang w:eastAsia="en-GB"/>
        </w:rPr>
        <w:t xml:space="preserve"> 53(4): </w:t>
      </w:r>
      <w:r w:rsidRPr="00C14D50">
        <w:rPr>
          <w:sz w:val="24"/>
          <w:szCs w:val="24"/>
          <w:lang w:eastAsia="en-GB"/>
        </w:rPr>
        <w:t>45–76.</w:t>
      </w:r>
    </w:p>
    <w:p w14:paraId="211008D5" w14:textId="77777777" w:rsidR="00771F89" w:rsidRPr="007A4AE1" w:rsidRDefault="00771F89" w:rsidP="00C14D50">
      <w:pPr>
        <w:spacing w:line="360" w:lineRule="auto"/>
        <w:ind w:left="720" w:hanging="720"/>
        <w:rPr>
          <w:sz w:val="24"/>
          <w:szCs w:val="24"/>
          <w:lang w:val="fr-FR" w:eastAsia="en-GB"/>
        </w:rPr>
      </w:pPr>
      <w:proofErr w:type="spellStart"/>
      <w:r w:rsidRPr="007A4AE1">
        <w:rPr>
          <w:sz w:val="24"/>
          <w:szCs w:val="24"/>
          <w:lang w:val="fr-FR" w:eastAsia="en-GB"/>
        </w:rPr>
        <w:t>Engelbert</w:t>
      </w:r>
      <w:proofErr w:type="spellEnd"/>
      <w:r w:rsidRPr="007A4AE1">
        <w:rPr>
          <w:sz w:val="24"/>
          <w:szCs w:val="24"/>
          <w:lang w:val="fr-FR" w:eastAsia="en-GB"/>
        </w:rPr>
        <w:t xml:space="preserve">, P. (2002) “Patterns and </w:t>
      </w:r>
      <w:proofErr w:type="spellStart"/>
      <w:r w:rsidRPr="007A4AE1">
        <w:rPr>
          <w:sz w:val="24"/>
          <w:szCs w:val="24"/>
          <w:lang w:val="fr-FR" w:eastAsia="en-GB"/>
        </w:rPr>
        <w:t>Theories</w:t>
      </w:r>
      <w:proofErr w:type="spellEnd"/>
      <w:r w:rsidRPr="007A4AE1">
        <w:rPr>
          <w:sz w:val="24"/>
          <w:szCs w:val="24"/>
          <w:lang w:val="fr-FR" w:eastAsia="en-GB"/>
        </w:rPr>
        <w:t xml:space="preserve"> of </w:t>
      </w:r>
      <w:proofErr w:type="spellStart"/>
      <w:r w:rsidRPr="007A4AE1">
        <w:rPr>
          <w:sz w:val="24"/>
          <w:szCs w:val="24"/>
          <w:lang w:val="fr-FR" w:eastAsia="en-GB"/>
        </w:rPr>
        <w:t>Traditional</w:t>
      </w:r>
      <w:proofErr w:type="spellEnd"/>
      <w:r w:rsidRPr="007A4AE1">
        <w:rPr>
          <w:sz w:val="24"/>
          <w:szCs w:val="24"/>
          <w:lang w:val="fr-FR" w:eastAsia="en-GB"/>
        </w:rPr>
        <w:t xml:space="preserve"> </w:t>
      </w:r>
      <w:proofErr w:type="spellStart"/>
      <w:r w:rsidRPr="007A4AE1">
        <w:rPr>
          <w:sz w:val="24"/>
          <w:szCs w:val="24"/>
          <w:lang w:val="fr-FR" w:eastAsia="en-GB"/>
        </w:rPr>
        <w:t>Resurgence</w:t>
      </w:r>
      <w:proofErr w:type="spellEnd"/>
      <w:r w:rsidRPr="007A4AE1">
        <w:rPr>
          <w:sz w:val="24"/>
          <w:szCs w:val="24"/>
          <w:lang w:val="fr-FR" w:eastAsia="en-GB"/>
        </w:rPr>
        <w:t xml:space="preserve"> in Tropical </w:t>
      </w:r>
      <w:proofErr w:type="spellStart"/>
      <w:r w:rsidRPr="007A4AE1">
        <w:rPr>
          <w:sz w:val="24"/>
          <w:szCs w:val="24"/>
          <w:lang w:val="fr-FR" w:eastAsia="en-GB"/>
        </w:rPr>
        <w:t>Africa</w:t>
      </w:r>
      <w:proofErr w:type="spellEnd"/>
      <w:r w:rsidRPr="007A4AE1">
        <w:rPr>
          <w:sz w:val="24"/>
          <w:szCs w:val="24"/>
          <w:lang w:val="fr-FR" w:eastAsia="en-GB"/>
        </w:rPr>
        <w:t xml:space="preserve">”, </w:t>
      </w:r>
      <w:r w:rsidRPr="007A4AE1">
        <w:rPr>
          <w:i/>
          <w:sz w:val="24"/>
          <w:szCs w:val="24"/>
          <w:lang w:val="fr-FR" w:eastAsia="en-GB"/>
        </w:rPr>
        <w:t>Mondes en Développement</w:t>
      </w:r>
      <w:r w:rsidRPr="007A4AE1">
        <w:rPr>
          <w:sz w:val="24"/>
          <w:szCs w:val="24"/>
          <w:lang w:val="fr-FR" w:eastAsia="en-GB"/>
        </w:rPr>
        <w:t xml:space="preserve"> 30(118</w:t>
      </w:r>
      <w:proofErr w:type="gramStart"/>
      <w:r w:rsidRPr="007A4AE1">
        <w:rPr>
          <w:sz w:val="24"/>
          <w:szCs w:val="24"/>
          <w:lang w:val="fr-FR" w:eastAsia="en-GB"/>
        </w:rPr>
        <w:t>):</w:t>
      </w:r>
      <w:proofErr w:type="gramEnd"/>
      <w:r w:rsidRPr="007A4AE1">
        <w:rPr>
          <w:sz w:val="24"/>
          <w:szCs w:val="24"/>
          <w:lang w:val="fr-FR" w:eastAsia="en-GB"/>
        </w:rPr>
        <w:t xml:space="preserve"> 51–64.</w:t>
      </w:r>
    </w:p>
    <w:p w14:paraId="7F2FA8CB"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val="fr-FR"/>
        </w:rPr>
        <w:t>Eteme</w:t>
      </w:r>
      <w:proofErr w:type="spellEnd"/>
      <w:r w:rsidRPr="00C14D50">
        <w:rPr>
          <w:sz w:val="24"/>
          <w:szCs w:val="24"/>
          <w:lang w:val="fr-FR"/>
        </w:rPr>
        <w:t xml:space="preserve">, D., 2015, Gouvernance de la </w:t>
      </w:r>
      <w:proofErr w:type="spellStart"/>
      <w:r w:rsidRPr="00C14D50">
        <w:rPr>
          <w:sz w:val="24"/>
          <w:szCs w:val="24"/>
          <w:lang w:val="fr-FR"/>
        </w:rPr>
        <w:t>redevanceforestièreannuelleetcitoyenneté</w:t>
      </w:r>
      <w:proofErr w:type="spellEnd"/>
      <w:r w:rsidRPr="00C14D50">
        <w:rPr>
          <w:sz w:val="24"/>
          <w:szCs w:val="24"/>
          <w:lang w:val="fr-FR"/>
        </w:rPr>
        <w:t xml:space="preserve"> au </w:t>
      </w:r>
      <w:proofErr w:type="gramStart"/>
      <w:r w:rsidRPr="00C14D50">
        <w:rPr>
          <w:sz w:val="24"/>
          <w:szCs w:val="24"/>
          <w:lang w:val="fr-FR"/>
        </w:rPr>
        <w:t>Cameroun:</w:t>
      </w:r>
      <w:proofErr w:type="gramEnd"/>
      <w:r w:rsidRPr="00C14D50">
        <w:rPr>
          <w:sz w:val="24"/>
          <w:szCs w:val="24"/>
          <w:lang w:val="fr-FR"/>
        </w:rPr>
        <w:t xml:space="preserve"> Analyse des dynamiques locales autour de la redevabilité et leçons pour la REDD+. </w:t>
      </w:r>
      <w:r w:rsidRPr="00C14D50">
        <w:rPr>
          <w:sz w:val="24"/>
          <w:szCs w:val="24"/>
          <w:lang w:val="en-US"/>
        </w:rPr>
        <w:t xml:space="preserve">Responsive Forest Governance Initiative (RFGI) Working Paper </w:t>
      </w:r>
      <w:proofErr w:type="gramStart"/>
      <w:r w:rsidRPr="00C14D50">
        <w:rPr>
          <w:sz w:val="24"/>
          <w:szCs w:val="24"/>
          <w:lang w:val="en-US"/>
        </w:rPr>
        <w:t>Series ,</w:t>
      </w:r>
      <w:proofErr w:type="gramEnd"/>
      <w:r w:rsidRPr="00C14D50">
        <w:rPr>
          <w:sz w:val="24"/>
          <w:szCs w:val="24"/>
          <w:lang w:val="en-US"/>
        </w:rPr>
        <w:t xml:space="preserve"> Dakar: CODESRIA.</w:t>
      </w:r>
    </w:p>
    <w:p w14:paraId="626B76A5"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Fabian, J. (1999) “R</w:t>
      </w:r>
      <w:r w:rsidRPr="00C14D50">
        <w:rPr>
          <w:bCs/>
          <w:kern w:val="36"/>
          <w:sz w:val="24"/>
          <w:szCs w:val="24"/>
          <w:lang w:eastAsia="en-GB"/>
        </w:rPr>
        <w:t xml:space="preserve">emembering the Other: Knowledge and Recognition in the Exploration of Central Africa”, </w:t>
      </w:r>
      <w:r w:rsidRPr="00C14D50">
        <w:rPr>
          <w:i/>
          <w:iCs/>
          <w:sz w:val="24"/>
          <w:szCs w:val="24"/>
          <w:lang w:eastAsia="en-GB"/>
        </w:rPr>
        <w:t>Critical Inquiry</w:t>
      </w:r>
      <w:r w:rsidRPr="00C14D50">
        <w:rPr>
          <w:sz w:val="24"/>
          <w:szCs w:val="24"/>
          <w:lang w:eastAsia="en-GB"/>
        </w:rPr>
        <w:t xml:space="preserve"> 26(1): 49–69.</w:t>
      </w:r>
    </w:p>
    <w:p w14:paraId="4FB37E5E" w14:textId="77777777" w:rsidR="00771F89" w:rsidRPr="00C14D50" w:rsidRDefault="00771F89" w:rsidP="00C14D50">
      <w:pPr>
        <w:spacing w:line="360" w:lineRule="auto"/>
        <w:rPr>
          <w:sz w:val="24"/>
          <w:szCs w:val="24"/>
          <w:lang w:val="fr-FR" w:eastAsia="en-GB"/>
        </w:rPr>
      </w:pPr>
      <w:r w:rsidRPr="00C14D50">
        <w:rPr>
          <w:sz w:val="24"/>
          <w:szCs w:val="24"/>
          <w:lang w:val="fr-FR" w:eastAsia="en-GB"/>
        </w:rPr>
        <w:t xml:space="preserve">Faye, P. (2006) “Décentralisation, pluralisme institutionnel et démocratie </w:t>
      </w:r>
      <w:proofErr w:type="gramStart"/>
      <w:r w:rsidRPr="00C14D50">
        <w:rPr>
          <w:sz w:val="24"/>
          <w:szCs w:val="24"/>
          <w:lang w:val="fr-FR" w:eastAsia="en-GB"/>
        </w:rPr>
        <w:t>locale:</w:t>
      </w:r>
      <w:proofErr w:type="gramEnd"/>
      <w:r w:rsidRPr="00C14D50">
        <w:rPr>
          <w:sz w:val="24"/>
          <w:szCs w:val="24"/>
          <w:lang w:val="fr-FR" w:eastAsia="en-GB"/>
        </w:rPr>
        <w:t xml:space="preserve"> </w:t>
      </w:r>
      <w:r w:rsidRPr="00C14D50">
        <w:rPr>
          <w:sz w:val="24"/>
          <w:szCs w:val="24"/>
          <w:lang w:val="fr-FR" w:eastAsia="en-GB"/>
        </w:rPr>
        <w:tab/>
        <w:t xml:space="preserve">Étude de cas de la gestion du massif forestier </w:t>
      </w:r>
      <w:proofErr w:type="spellStart"/>
      <w:r w:rsidRPr="00C14D50">
        <w:rPr>
          <w:sz w:val="24"/>
          <w:szCs w:val="24"/>
          <w:lang w:val="fr-FR" w:eastAsia="en-GB"/>
        </w:rPr>
        <w:t>Missirah</w:t>
      </w:r>
      <w:proofErr w:type="spellEnd"/>
      <w:r w:rsidRPr="00C14D50">
        <w:rPr>
          <w:sz w:val="24"/>
          <w:szCs w:val="24"/>
          <w:lang w:val="fr-FR" w:eastAsia="en-GB"/>
        </w:rPr>
        <w:t>/</w:t>
      </w:r>
      <w:proofErr w:type="spellStart"/>
      <w:r w:rsidRPr="00C14D50">
        <w:rPr>
          <w:sz w:val="24"/>
          <w:szCs w:val="24"/>
          <w:lang w:val="fr-FR" w:eastAsia="en-GB"/>
        </w:rPr>
        <w:t>Kothiary</w:t>
      </w:r>
      <w:proofErr w:type="spellEnd"/>
      <w:r w:rsidRPr="00C14D50">
        <w:rPr>
          <w:sz w:val="24"/>
          <w:szCs w:val="24"/>
          <w:lang w:val="fr-FR" w:eastAsia="en-GB"/>
        </w:rPr>
        <w:t>”,</w:t>
      </w:r>
    </w:p>
    <w:p w14:paraId="3403C19A" w14:textId="77777777" w:rsidR="00771F89" w:rsidRPr="00C14D50" w:rsidRDefault="00771F89" w:rsidP="00C14D50">
      <w:pPr>
        <w:spacing w:line="360" w:lineRule="auto"/>
        <w:ind w:left="720"/>
        <w:rPr>
          <w:sz w:val="24"/>
          <w:szCs w:val="24"/>
          <w:lang w:eastAsia="en-GB"/>
        </w:rPr>
      </w:pPr>
      <w:r w:rsidRPr="007A4AE1">
        <w:rPr>
          <w:sz w:val="24"/>
          <w:szCs w:val="24"/>
          <w:lang w:val="en-US" w:eastAsia="en-GB"/>
        </w:rPr>
        <w:t xml:space="preserve">Representation, Equity &amp; Environment Working Paper Series, WP 20. </w:t>
      </w:r>
      <w:r w:rsidRPr="00C14D50">
        <w:rPr>
          <w:sz w:val="24"/>
          <w:szCs w:val="24"/>
          <w:lang w:eastAsia="en-GB"/>
        </w:rPr>
        <w:t>Washington, DC: World Resources Institute.</w:t>
      </w:r>
    </w:p>
    <w:p w14:paraId="0F27088A" w14:textId="77777777" w:rsidR="00771F89" w:rsidRPr="00C14D50" w:rsidRDefault="00771F89" w:rsidP="00C14D50">
      <w:pPr>
        <w:spacing w:line="360" w:lineRule="auto"/>
        <w:rPr>
          <w:sz w:val="24"/>
          <w:szCs w:val="24"/>
          <w:lang w:eastAsia="en-GB"/>
        </w:rPr>
      </w:pPr>
      <w:r w:rsidRPr="00C14D50">
        <w:rPr>
          <w:color w:val="231E20"/>
          <w:sz w:val="24"/>
          <w:szCs w:val="24"/>
          <w:lang w:val="en-US"/>
        </w:rPr>
        <w:t xml:space="preserve">Faye, P., 2015a, </w:t>
      </w:r>
      <w:proofErr w:type="gramStart"/>
      <w:r w:rsidRPr="00C14D50">
        <w:rPr>
          <w:color w:val="231E20"/>
          <w:sz w:val="24"/>
          <w:szCs w:val="24"/>
          <w:lang w:val="en-US"/>
        </w:rPr>
        <w:t>From</w:t>
      </w:r>
      <w:proofErr w:type="gramEnd"/>
      <w:r w:rsidRPr="00C14D50">
        <w:rPr>
          <w:color w:val="231E20"/>
          <w:sz w:val="24"/>
          <w:szCs w:val="24"/>
          <w:lang w:val="en-US"/>
        </w:rPr>
        <w:t xml:space="preserve"> recognition to derecognition in Senegal’s forests: Hemming in democratic representation via technical claims, </w:t>
      </w:r>
      <w:r w:rsidRPr="00C14D50">
        <w:rPr>
          <w:sz w:val="24"/>
          <w:szCs w:val="24"/>
          <w:lang w:val="en-US"/>
        </w:rPr>
        <w:t>RFGI Working Paper No. 17. Responsive Forest Governance</w:t>
      </w:r>
      <w:r w:rsidRPr="00C14D50">
        <w:rPr>
          <w:color w:val="231E20"/>
          <w:sz w:val="24"/>
          <w:szCs w:val="24"/>
          <w:lang w:val="en-US"/>
        </w:rPr>
        <w:t xml:space="preserve"> </w:t>
      </w:r>
      <w:r w:rsidRPr="00C14D50">
        <w:rPr>
          <w:sz w:val="24"/>
          <w:szCs w:val="24"/>
          <w:lang w:val="en-US"/>
        </w:rPr>
        <w:t xml:space="preserve">Initiative (RFGI) Working Paper </w:t>
      </w:r>
      <w:proofErr w:type="gramStart"/>
      <w:r w:rsidRPr="00C14D50">
        <w:rPr>
          <w:sz w:val="24"/>
          <w:szCs w:val="24"/>
          <w:lang w:val="en-US"/>
        </w:rPr>
        <w:t>Series ,</w:t>
      </w:r>
      <w:proofErr w:type="gramEnd"/>
      <w:r w:rsidRPr="00C14D50">
        <w:rPr>
          <w:sz w:val="24"/>
          <w:szCs w:val="24"/>
          <w:lang w:val="en-US"/>
        </w:rPr>
        <w:t xml:space="preserve"> Dakar: CODESRIA.</w:t>
      </w:r>
    </w:p>
    <w:p w14:paraId="677F5692" w14:textId="77777777" w:rsidR="00771F89" w:rsidRPr="00C14D50" w:rsidRDefault="00771F89" w:rsidP="00C14D50">
      <w:pPr>
        <w:spacing w:line="360" w:lineRule="auto"/>
        <w:rPr>
          <w:sz w:val="24"/>
          <w:szCs w:val="24"/>
          <w:lang w:eastAsia="en-GB"/>
        </w:rPr>
      </w:pPr>
      <w:r w:rsidRPr="00C14D50">
        <w:rPr>
          <w:sz w:val="24"/>
          <w:szCs w:val="24"/>
          <w:lang w:val="en-US"/>
        </w:rPr>
        <w:lastRenderedPageBreak/>
        <w:t xml:space="preserve">Faye, P., 2015b, ‘Choice and Power: Resisting Technical Domination in </w:t>
      </w:r>
      <w:proofErr w:type="gramStart"/>
      <w:r w:rsidRPr="00C14D50">
        <w:rPr>
          <w:sz w:val="24"/>
          <w:szCs w:val="24"/>
          <w:lang w:val="en-US"/>
        </w:rPr>
        <w:t>Senegal’s  Forest</w:t>
      </w:r>
      <w:proofErr w:type="gramEnd"/>
      <w:r w:rsidRPr="00C14D50">
        <w:rPr>
          <w:color w:val="231E20"/>
          <w:sz w:val="24"/>
          <w:szCs w:val="24"/>
          <w:lang w:val="en-US"/>
        </w:rPr>
        <w:t xml:space="preserve"> </w:t>
      </w:r>
      <w:r w:rsidRPr="00C14D50">
        <w:rPr>
          <w:sz w:val="24"/>
          <w:szCs w:val="24"/>
          <w:lang w:val="en-US"/>
        </w:rPr>
        <w:t>Decentralization, Forest Policy and Economics  60 (2015), pp. 19-26.</w:t>
      </w:r>
    </w:p>
    <w:p w14:paraId="1B2900F9" w14:textId="77777777" w:rsidR="00771F89" w:rsidRPr="00C14D50" w:rsidRDefault="00771F89" w:rsidP="00C14D50">
      <w:pPr>
        <w:spacing w:line="360" w:lineRule="auto"/>
        <w:ind w:left="720" w:hanging="720"/>
        <w:rPr>
          <w:sz w:val="24"/>
          <w:szCs w:val="24"/>
          <w:lang w:eastAsia="en-GB"/>
        </w:rPr>
      </w:pPr>
      <w:r w:rsidRPr="00C14D50">
        <w:rPr>
          <w:sz w:val="24"/>
          <w:szCs w:val="24"/>
        </w:rPr>
        <w:t xml:space="preserve">Faye, Papa and Jesse Ribot. (2017) “Causes for Adaptation: Access to Forests, Markets and Representation in Eastern Senegal” </w:t>
      </w:r>
      <w:r w:rsidRPr="00C14D50">
        <w:rPr>
          <w:i/>
          <w:sz w:val="24"/>
          <w:szCs w:val="24"/>
        </w:rPr>
        <w:t>Sustainability</w:t>
      </w:r>
      <w:r w:rsidRPr="00C14D50">
        <w:rPr>
          <w:sz w:val="24"/>
          <w:szCs w:val="24"/>
        </w:rPr>
        <w:t xml:space="preserve">. Vol. 9, No. 311. Pp. 20. On line: </w:t>
      </w:r>
      <w:hyperlink r:id="rId13" w:tgtFrame="_blank" w:history="1">
        <w:r w:rsidRPr="00C14D50">
          <w:rPr>
            <w:rStyle w:val="Hyperlink"/>
            <w:sz w:val="24"/>
            <w:szCs w:val="24"/>
            <w:shd w:val="clear" w:color="auto" w:fill="FFFFFF"/>
          </w:rPr>
          <w:t>http://www.mdpi.com/2071-1050/9/2/311</w:t>
        </w:r>
      </w:hyperlink>
      <w:r w:rsidRPr="00C14D50">
        <w:rPr>
          <w:sz w:val="24"/>
          <w:szCs w:val="24"/>
        </w:rPr>
        <w:t xml:space="preserve">.  </w:t>
      </w:r>
    </w:p>
    <w:p w14:paraId="0F171372" w14:textId="77777777" w:rsidR="00771F89" w:rsidRPr="00C14D50" w:rsidRDefault="00771F89" w:rsidP="00C14D50">
      <w:pPr>
        <w:spacing w:line="360" w:lineRule="auto"/>
        <w:ind w:left="720" w:hanging="720"/>
        <w:rPr>
          <w:sz w:val="24"/>
          <w:szCs w:val="24"/>
          <w:lang w:eastAsia="en-GB"/>
        </w:rPr>
      </w:pPr>
      <w:r w:rsidRPr="00C14D50">
        <w:rPr>
          <w:sz w:val="24"/>
          <w:szCs w:val="24"/>
        </w:rPr>
        <w:t xml:space="preserve">Faye, Papa, Tobias Haller and J. Ribot. 2018. “Shaping Rules and Practice for More Justice. Local Conventions and Local Resistance in Eastern Senegal” </w:t>
      </w:r>
      <w:r w:rsidRPr="00C14D50">
        <w:rPr>
          <w:i/>
          <w:sz w:val="24"/>
          <w:szCs w:val="24"/>
        </w:rPr>
        <w:t>Human Ecology</w:t>
      </w:r>
      <w:r w:rsidRPr="00C14D50">
        <w:rPr>
          <w:sz w:val="24"/>
          <w:szCs w:val="24"/>
        </w:rPr>
        <w:t>. Online publication 25 July.</w:t>
      </w:r>
    </w:p>
    <w:p w14:paraId="0351BEBB"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Foster, A. D. and M. R. Rosenzweig (2004) “Democratization and the Distribution of Local Public Goods in a Poor Rural Economy”, mimeo.</w:t>
      </w:r>
    </w:p>
    <w:p w14:paraId="720EB5E4"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Fraser, N. (2000) “Rethinking Recognition”, </w:t>
      </w:r>
      <w:r w:rsidRPr="00C14D50">
        <w:rPr>
          <w:i/>
          <w:sz w:val="24"/>
          <w:szCs w:val="24"/>
          <w:lang w:eastAsia="en-GB"/>
        </w:rPr>
        <w:t>New Left Review</w:t>
      </w:r>
      <w:r w:rsidRPr="00C14D50">
        <w:rPr>
          <w:sz w:val="24"/>
          <w:szCs w:val="24"/>
          <w:lang w:eastAsia="en-GB"/>
        </w:rPr>
        <w:t xml:space="preserve"> 3: 107–120.</w:t>
      </w:r>
    </w:p>
    <w:p w14:paraId="3964E13E"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Fung, A. (2003) “Survey Article: Recipes for Public Spheres: Eight Institutional Design Choices and Their Consequences”, </w:t>
      </w:r>
      <w:r w:rsidRPr="00C14D50">
        <w:rPr>
          <w:i/>
          <w:sz w:val="24"/>
          <w:szCs w:val="24"/>
          <w:lang w:eastAsia="en-GB"/>
        </w:rPr>
        <w:t>Journal of Political Philosophy</w:t>
      </w:r>
      <w:r w:rsidRPr="00C14D50">
        <w:rPr>
          <w:sz w:val="24"/>
          <w:szCs w:val="24"/>
          <w:lang w:eastAsia="en-GB"/>
        </w:rPr>
        <w:t xml:space="preserve"> 11(3): 338–367.</w:t>
      </w:r>
    </w:p>
    <w:p w14:paraId="6E21EA34"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Fung, A. and E. O. Wright (eds) (2003) </w:t>
      </w:r>
      <w:r w:rsidRPr="00C14D50">
        <w:rPr>
          <w:i/>
          <w:sz w:val="24"/>
          <w:szCs w:val="24"/>
          <w:lang w:eastAsia="en-GB"/>
        </w:rPr>
        <w:t>Deepening Democracy: Institutional Innovations in Empowered Participatory Governance</w:t>
      </w:r>
      <w:r w:rsidRPr="00C14D50">
        <w:rPr>
          <w:sz w:val="24"/>
          <w:szCs w:val="24"/>
          <w:lang w:eastAsia="en-GB"/>
        </w:rPr>
        <w:t>. London and New York: Verso.</w:t>
      </w:r>
    </w:p>
    <w:p w14:paraId="2622AF33"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Gaventa, J. (2002) “Six Propositions on Participatory Local Governance”, </w:t>
      </w:r>
      <w:r w:rsidRPr="00C14D50">
        <w:rPr>
          <w:i/>
          <w:sz w:val="24"/>
          <w:szCs w:val="24"/>
          <w:lang w:eastAsia="en-GB"/>
        </w:rPr>
        <w:t>Currents</w:t>
      </w:r>
      <w:r w:rsidRPr="00C14D50">
        <w:rPr>
          <w:sz w:val="24"/>
          <w:szCs w:val="24"/>
          <w:lang w:eastAsia="en-GB"/>
        </w:rPr>
        <w:t xml:space="preserve"> 29: 29–35.</w:t>
      </w:r>
    </w:p>
    <w:p w14:paraId="1BA7F6FF"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eastAsia="en-GB"/>
        </w:rPr>
        <w:t>Geschiere</w:t>
      </w:r>
      <w:proofErr w:type="spellEnd"/>
      <w:r w:rsidRPr="00C14D50">
        <w:rPr>
          <w:sz w:val="24"/>
          <w:szCs w:val="24"/>
          <w:lang w:eastAsia="en-GB"/>
        </w:rPr>
        <w:t>, P. and C. Boone (2003) “Crisis of Citizenship: New Modes in the Struggles over Belonging and Exclusion in Africa and Elsewhere”, Research Concept Sketch for SSRC-Programme.</w:t>
      </w:r>
    </w:p>
    <w:p w14:paraId="15BB4259" w14:textId="77777777" w:rsidR="00771F89" w:rsidRPr="00C14D50" w:rsidRDefault="00771F89" w:rsidP="00C14D50">
      <w:pPr>
        <w:tabs>
          <w:tab w:val="left" w:pos="2940"/>
        </w:tabs>
        <w:spacing w:line="360" w:lineRule="auto"/>
        <w:ind w:left="720" w:hanging="720"/>
        <w:rPr>
          <w:sz w:val="24"/>
          <w:szCs w:val="24"/>
        </w:rPr>
      </w:pPr>
      <w:r w:rsidRPr="00C14D50">
        <w:rPr>
          <w:sz w:val="24"/>
          <w:szCs w:val="24"/>
        </w:rPr>
        <w:t xml:space="preserve">Grindle, M. S. (2007) </w:t>
      </w:r>
      <w:r w:rsidRPr="00C14D50">
        <w:rPr>
          <w:i/>
          <w:sz w:val="24"/>
          <w:szCs w:val="24"/>
        </w:rPr>
        <w:t>Going Local</w:t>
      </w:r>
      <w:r w:rsidRPr="00C14D50">
        <w:rPr>
          <w:sz w:val="24"/>
          <w:szCs w:val="24"/>
        </w:rPr>
        <w:t>. Princeton, NJ: Princeton University Press.</w:t>
      </w:r>
    </w:p>
    <w:p w14:paraId="4BECFC2A" w14:textId="77777777" w:rsidR="00771F89" w:rsidRPr="00C14D50" w:rsidRDefault="00771F89" w:rsidP="00C14D50">
      <w:pPr>
        <w:tabs>
          <w:tab w:val="left" w:pos="2940"/>
        </w:tabs>
        <w:spacing w:line="360" w:lineRule="auto"/>
        <w:ind w:left="720" w:hanging="720"/>
        <w:rPr>
          <w:sz w:val="24"/>
          <w:szCs w:val="24"/>
        </w:rPr>
      </w:pPr>
      <w:r w:rsidRPr="00C14D50">
        <w:rPr>
          <w:sz w:val="24"/>
          <w:szCs w:val="24"/>
        </w:rPr>
        <w:t xml:space="preserve">Habermas, J. (1991) </w:t>
      </w:r>
      <w:r w:rsidRPr="00C14D50">
        <w:rPr>
          <w:i/>
          <w:sz w:val="24"/>
          <w:szCs w:val="24"/>
        </w:rPr>
        <w:t>The Structural Transformation of the Public Sphere: An Inquiry into Categories of Bourgeois Society</w:t>
      </w:r>
      <w:r w:rsidRPr="00C14D50">
        <w:rPr>
          <w:sz w:val="24"/>
          <w:szCs w:val="24"/>
        </w:rPr>
        <w:t>. Cambridge, MA: MIT Press.</w:t>
      </w:r>
    </w:p>
    <w:p w14:paraId="5D92BB10"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Hara, M. (2008) “Dilemmas of Democratic Decentralization in Mangochi District Malawi: Interest and Mistrust in Fisheries Management”, </w:t>
      </w:r>
      <w:r w:rsidRPr="00C14D50">
        <w:rPr>
          <w:i/>
          <w:sz w:val="24"/>
          <w:szCs w:val="24"/>
          <w:lang w:eastAsia="en-GB"/>
        </w:rPr>
        <w:t>Conservation and Society</w:t>
      </w:r>
      <w:r w:rsidRPr="00C14D50">
        <w:rPr>
          <w:sz w:val="24"/>
          <w:szCs w:val="24"/>
          <w:lang w:eastAsia="en-GB"/>
        </w:rPr>
        <w:t xml:space="preserve"> 6(1): 74–86.</w:t>
      </w:r>
    </w:p>
    <w:p w14:paraId="611F2C8D"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eastAsia="en-GB"/>
        </w:rPr>
        <w:t>Harriss</w:t>
      </w:r>
      <w:proofErr w:type="spellEnd"/>
      <w:r w:rsidRPr="00C14D50">
        <w:rPr>
          <w:sz w:val="24"/>
          <w:szCs w:val="24"/>
          <w:lang w:eastAsia="en-GB"/>
        </w:rPr>
        <w:t xml:space="preserve">, J., K. </w:t>
      </w:r>
      <w:proofErr w:type="spellStart"/>
      <w:r w:rsidRPr="00C14D50">
        <w:rPr>
          <w:sz w:val="24"/>
          <w:szCs w:val="24"/>
          <w:lang w:eastAsia="en-GB"/>
        </w:rPr>
        <w:t>Stokke</w:t>
      </w:r>
      <w:proofErr w:type="spellEnd"/>
      <w:r w:rsidRPr="00C14D50">
        <w:rPr>
          <w:sz w:val="24"/>
          <w:szCs w:val="24"/>
          <w:lang w:eastAsia="en-GB"/>
        </w:rPr>
        <w:t xml:space="preserve"> and O. </w:t>
      </w:r>
      <w:proofErr w:type="spellStart"/>
      <w:r w:rsidRPr="00C14D50">
        <w:rPr>
          <w:sz w:val="24"/>
          <w:szCs w:val="24"/>
          <w:lang w:eastAsia="en-GB"/>
        </w:rPr>
        <w:t>Törnquist</w:t>
      </w:r>
      <w:proofErr w:type="spellEnd"/>
      <w:r w:rsidRPr="00C14D50">
        <w:rPr>
          <w:sz w:val="24"/>
          <w:szCs w:val="24"/>
          <w:lang w:eastAsia="en-GB"/>
        </w:rPr>
        <w:t xml:space="preserve"> (eds) (2004) </w:t>
      </w:r>
      <w:r w:rsidRPr="00C14D50">
        <w:rPr>
          <w:i/>
          <w:sz w:val="24"/>
          <w:szCs w:val="24"/>
          <w:lang w:eastAsia="en-GB"/>
        </w:rPr>
        <w:t>Politicising Democracy: The New Local Politics of Democratisation</w:t>
      </w:r>
      <w:r w:rsidRPr="00C14D50">
        <w:rPr>
          <w:sz w:val="24"/>
          <w:szCs w:val="24"/>
          <w:lang w:eastAsia="en-GB"/>
        </w:rPr>
        <w:t>. New York: Palgrave Macmillan.</w:t>
      </w:r>
    </w:p>
    <w:p w14:paraId="03FD11F7"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Heller, P., K. N. </w:t>
      </w:r>
      <w:proofErr w:type="spellStart"/>
      <w:r w:rsidRPr="00C14D50">
        <w:rPr>
          <w:sz w:val="24"/>
          <w:szCs w:val="24"/>
          <w:lang w:eastAsia="en-GB"/>
        </w:rPr>
        <w:t>Harilal</w:t>
      </w:r>
      <w:proofErr w:type="spellEnd"/>
      <w:r w:rsidRPr="00C14D50">
        <w:rPr>
          <w:sz w:val="24"/>
          <w:szCs w:val="24"/>
          <w:lang w:eastAsia="en-GB"/>
        </w:rPr>
        <w:t xml:space="preserve"> and S. Chaudhuri (2007) “Building Local Democracy: Evaluating the Impact of Decentralization in Kerala, India”, </w:t>
      </w:r>
      <w:r w:rsidRPr="00C14D50">
        <w:rPr>
          <w:i/>
          <w:sz w:val="24"/>
          <w:szCs w:val="24"/>
          <w:lang w:eastAsia="en-GB"/>
        </w:rPr>
        <w:t>World Development</w:t>
      </w:r>
      <w:r w:rsidRPr="00C14D50">
        <w:rPr>
          <w:sz w:val="24"/>
          <w:szCs w:val="24"/>
          <w:lang w:eastAsia="en-GB"/>
        </w:rPr>
        <w:t xml:space="preserve"> 35(4): 626–648.</w:t>
      </w:r>
    </w:p>
    <w:p w14:paraId="1EA6E40F" w14:textId="77777777" w:rsidR="00771F89" w:rsidRPr="00C14D50" w:rsidRDefault="00771F89" w:rsidP="00C14D50">
      <w:pPr>
        <w:spacing w:line="360" w:lineRule="auto"/>
        <w:ind w:left="720" w:hanging="720"/>
        <w:rPr>
          <w:sz w:val="24"/>
          <w:szCs w:val="24"/>
          <w:lang w:val="fr-FR" w:eastAsia="en-GB"/>
        </w:rPr>
      </w:pPr>
      <w:proofErr w:type="spellStart"/>
      <w:r w:rsidRPr="00C14D50">
        <w:rPr>
          <w:sz w:val="24"/>
          <w:szCs w:val="24"/>
          <w:lang w:eastAsia="en-GB"/>
        </w:rPr>
        <w:t>Hesseling</w:t>
      </w:r>
      <w:proofErr w:type="spellEnd"/>
      <w:r w:rsidRPr="00C14D50">
        <w:rPr>
          <w:sz w:val="24"/>
          <w:szCs w:val="24"/>
          <w:lang w:eastAsia="en-GB"/>
        </w:rPr>
        <w:t xml:space="preserve">, G. (in collaboration with M. </w:t>
      </w:r>
      <w:proofErr w:type="spellStart"/>
      <w:r w:rsidRPr="00C14D50">
        <w:rPr>
          <w:sz w:val="24"/>
          <w:szCs w:val="24"/>
          <w:lang w:eastAsia="en-GB"/>
        </w:rPr>
        <w:t>Sypkens</w:t>
      </w:r>
      <w:proofErr w:type="spellEnd"/>
      <w:r w:rsidRPr="00C14D50">
        <w:rPr>
          <w:sz w:val="24"/>
          <w:szCs w:val="24"/>
          <w:lang w:eastAsia="en-GB"/>
        </w:rPr>
        <w:t xml:space="preserve"> Smit) (n.d.) </w:t>
      </w:r>
      <w:r w:rsidRPr="00C14D50">
        <w:rPr>
          <w:sz w:val="24"/>
          <w:szCs w:val="24"/>
          <w:lang w:val="fr-FR" w:eastAsia="en-GB"/>
        </w:rPr>
        <w:t xml:space="preserve">“Le Droit Foncier au Sénégal: L’Impact de la Réforme Foncière en Basse Casamance”, </w:t>
      </w:r>
      <w:proofErr w:type="spellStart"/>
      <w:r w:rsidRPr="00C14D50">
        <w:rPr>
          <w:sz w:val="24"/>
          <w:szCs w:val="24"/>
          <w:lang w:val="fr-FR" w:eastAsia="en-GB"/>
        </w:rPr>
        <w:t>mimeo</w:t>
      </w:r>
      <w:proofErr w:type="spellEnd"/>
      <w:r w:rsidRPr="00C14D50">
        <w:rPr>
          <w:sz w:val="24"/>
          <w:szCs w:val="24"/>
          <w:lang w:val="fr-FR" w:eastAsia="en-GB"/>
        </w:rPr>
        <w:t xml:space="preserve"> [c. 1984].</w:t>
      </w:r>
    </w:p>
    <w:p w14:paraId="0387D730"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eastAsia="en-GB"/>
        </w:rPr>
        <w:t>Isin</w:t>
      </w:r>
      <w:proofErr w:type="spellEnd"/>
      <w:r w:rsidRPr="00C14D50">
        <w:rPr>
          <w:sz w:val="24"/>
          <w:szCs w:val="24"/>
          <w:lang w:eastAsia="en-GB"/>
        </w:rPr>
        <w:t xml:space="preserve">, E. F. and B. S. Turner (eds) (2002) </w:t>
      </w:r>
      <w:r w:rsidRPr="00C14D50">
        <w:rPr>
          <w:i/>
          <w:sz w:val="24"/>
          <w:szCs w:val="24"/>
          <w:lang w:eastAsia="en-GB"/>
        </w:rPr>
        <w:t>Handbook of Citizenship Studies</w:t>
      </w:r>
      <w:r w:rsidRPr="00C14D50">
        <w:rPr>
          <w:sz w:val="24"/>
          <w:szCs w:val="24"/>
          <w:lang w:eastAsia="en-GB"/>
        </w:rPr>
        <w:t>. London: Sage Publications.</w:t>
      </w:r>
    </w:p>
    <w:p w14:paraId="0D5707B6"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lastRenderedPageBreak/>
        <w:t>Ito, T. (2007) “Institutional Choices in the Shadow of History: Decentralization in Indonesia”,</w:t>
      </w:r>
      <w:r w:rsidRPr="00C14D50">
        <w:rPr>
          <w:i/>
          <w:sz w:val="24"/>
          <w:szCs w:val="24"/>
          <w:lang w:eastAsia="en-GB"/>
        </w:rPr>
        <w:t xml:space="preserve"> </w:t>
      </w:r>
      <w:r w:rsidRPr="00C14D50">
        <w:rPr>
          <w:sz w:val="24"/>
          <w:szCs w:val="24"/>
          <w:lang w:eastAsia="en-GB"/>
        </w:rPr>
        <w:t>Representation, Equity &amp; Environment Working Paper Series, WP 34. Washington, DC: WRI.</w:t>
      </w:r>
    </w:p>
    <w:p w14:paraId="5ECF783A" w14:textId="77777777" w:rsidR="00771F89" w:rsidRPr="00C14D50" w:rsidRDefault="00771F89" w:rsidP="00C14D50">
      <w:pPr>
        <w:spacing w:line="360" w:lineRule="auto"/>
        <w:ind w:left="720" w:hanging="720"/>
        <w:rPr>
          <w:sz w:val="24"/>
          <w:szCs w:val="24"/>
          <w:lang w:eastAsia="en-GB"/>
        </w:rPr>
      </w:pPr>
      <w:r w:rsidRPr="00C14D50">
        <w:rPr>
          <w:sz w:val="24"/>
          <w:szCs w:val="24"/>
          <w:lang w:val="en-US"/>
        </w:rPr>
        <w:t xml:space="preserve">Jusrut, P., 2015, The process of institutional choice and recognition for the decentralized forest management in charcoal-producing zones of Tambacounda, Senegal, Responsive Forest Governance Initiative (RFGI) Working Paper </w:t>
      </w:r>
      <w:proofErr w:type="gramStart"/>
      <w:r w:rsidRPr="00C14D50">
        <w:rPr>
          <w:sz w:val="24"/>
          <w:szCs w:val="24"/>
          <w:lang w:val="en-US"/>
        </w:rPr>
        <w:t>Series ,</w:t>
      </w:r>
      <w:proofErr w:type="gramEnd"/>
      <w:r w:rsidRPr="00C14D50">
        <w:rPr>
          <w:sz w:val="24"/>
          <w:szCs w:val="24"/>
          <w:lang w:val="en-US"/>
        </w:rPr>
        <w:t xml:space="preserve"> Dakar: CODESRIA.</w:t>
      </w:r>
    </w:p>
    <w:p w14:paraId="5844423A"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val="en-US"/>
        </w:rPr>
        <w:t>Kijazi</w:t>
      </w:r>
      <w:proofErr w:type="spellEnd"/>
      <w:r w:rsidRPr="00C14D50">
        <w:rPr>
          <w:sz w:val="24"/>
          <w:szCs w:val="24"/>
          <w:lang w:val="en-US"/>
        </w:rPr>
        <w:t xml:space="preserve">, M., 2015, Resources, rents, representation and resistance: The struggle for just conservation on Mount Kilimanjaro, Responsive Forest Governance Initiative (RFGI) Working Paper </w:t>
      </w:r>
      <w:proofErr w:type="gramStart"/>
      <w:r w:rsidRPr="00C14D50">
        <w:rPr>
          <w:sz w:val="24"/>
          <w:szCs w:val="24"/>
          <w:lang w:val="en-US"/>
        </w:rPr>
        <w:t>Series ,</w:t>
      </w:r>
      <w:proofErr w:type="gramEnd"/>
      <w:r w:rsidRPr="00C14D50">
        <w:rPr>
          <w:sz w:val="24"/>
          <w:szCs w:val="24"/>
          <w:lang w:val="en-US"/>
        </w:rPr>
        <w:t xml:space="preserve"> Dakar: CODESRIA.</w:t>
      </w:r>
    </w:p>
    <w:p w14:paraId="4DADA042" w14:textId="77777777" w:rsidR="00771F89" w:rsidRPr="00C14D50" w:rsidRDefault="00771F89" w:rsidP="00C14D50">
      <w:pPr>
        <w:spacing w:line="360" w:lineRule="auto"/>
        <w:ind w:left="720" w:hanging="720"/>
        <w:rPr>
          <w:sz w:val="24"/>
          <w:szCs w:val="24"/>
        </w:rPr>
      </w:pPr>
      <w:proofErr w:type="spellStart"/>
      <w:r w:rsidRPr="00C14D50">
        <w:rPr>
          <w:sz w:val="24"/>
          <w:szCs w:val="24"/>
        </w:rPr>
        <w:t>Kymlicka</w:t>
      </w:r>
      <w:proofErr w:type="spellEnd"/>
      <w:r w:rsidRPr="00C14D50">
        <w:rPr>
          <w:sz w:val="24"/>
          <w:szCs w:val="24"/>
        </w:rPr>
        <w:t xml:space="preserve">, W. (2002) </w:t>
      </w:r>
      <w:r w:rsidRPr="00C14D50">
        <w:rPr>
          <w:i/>
          <w:sz w:val="24"/>
          <w:szCs w:val="24"/>
        </w:rPr>
        <w:t>Contemporary Political Philosophy: An Introduction</w:t>
      </w:r>
      <w:r w:rsidRPr="00C14D50">
        <w:rPr>
          <w:sz w:val="24"/>
          <w:szCs w:val="24"/>
        </w:rPr>
        <w:t>. Oxford: Oxford University Press.</w:t>
      </w:r>
    </w:p>
    <w:p w14:paraId="18E9E11D"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Lankina, T. (2008) “‘Fragmented Belonging’ on Russia’s Forested Western Frontier”, </w:t>
      </w:r>
      <w:r w:rsidRPr="00C14D50">
        <w:rPr>
          <w:i/>
          <w:sz w:val="24"/>
          <w:szCs w:val="24"/>
          <w:lang w:eastAsia="en-GB"/>
        </w:rPr>
        <w:t>Conservation and Society</w:t>
      </w:r>
      <w:r w:rsidRPr="00C14D50">
        <w:rPr>
          <w:sz w:val="24"/>
          <w:szCs w:val="24"/>
          <w:lang w:eastAsia="en-GB"/>
        </w:rPr>
        <w:t xml:space="preserve"> 6(1).</w:t>
      </w:r>
    </w:p>
    <w:p w14:paraId="5F6DE6E8" w14:textId="77777777" w:rsidR="00771F89" w:rsidRPr="00C14D50" w:rsidRDefault="00771F89" w:rsidP="00C14D50">
      <w:pPr>
        <w:spacing w:line="360" w:lineRule="auto"/>
        <w:ind w:left="720" w:hanging="720"/>
        <w:rPr>
          <w:sz w:val="24"/>
          <w:szCs w:val="24"/>
          <w:lang w:eastAsia="en-GB"/>
        </w:rPr>
      </w:pPr>
      <w:r w:rsidRPr="00C14D50">
        <w:rPr>
          <w:sz w:val="24"/>
          <w:szCs w:val="24"/>
          <w:lang w:val="fi-FI" w:eastAsia="en-GB"/>
        </w:rPr>
        <w:t xml:space="preserve">Lankina, T. V., A. </w:t>
      </w:r>
      <w:proofErr w:type="spellStart"/>
      <w:r w:rsidRPr="00C14D50">
        <w:rPr>
          <w:sz w:val="24"/>
          <w:szCs w:val="24"/>
          <w:lang w:val="fi-FI" w:eastAsia="en-GB"/>
        </w:rPr>
        <w:t>Hudalla</w:t>
      </w:r>
      <w:proofErr w:type="spellEnd"/>
      <w:r w:rsidRPr="00C14D50">
        <w:rPr>
          <w:sz w:val="24"/>
          <w:szCs w:val="24"/>
          <w:lang w:val="fi-FI" w:eastAsia="en-GB"/>
        </w:rPr>
        <w:t xml:space="preserve"> and H. </w:t>
      </w:r>
      <w:proofErr w:type="spellStart"/>
      <w:r w:rsidRPr="00C14D50">
        <w:rPr>
          <w:sz w:val="24"/>
          <w:szCs w:val="24"/>
          <w:lang w:val="fi-FI" w:eastAsia="en-GB"/>
        </w:rPr>
        <w:t>Wollmann</w:t>
      </w:r>
      <w:proofErr w:type="spellEnd"/>
      <w:r w:rsidRPr="00C14D50">
        <w:rPr>
          <w:sz w:val="24"/>
          <w:szCs w:val="24"/>
          <w:lang w:val="fi-FI" w:eastAsia="en-GB"/>
        </w:rPr>
        <w:t xml:space="preserve">. </w:t>
      </w:r>
      <w:r w:rsidRPr="00C14D50">
        <w:rPr>
          <w:sz w:val="24"/>
          <w:szCs w:val="24"/>
          <w:lang w:eastAsia="en-GB"/>
        </w:rPr>
        <w:t xml:space="preserve">(2008) </w:t>
      </w:r>
      <w:r w:rsidRPr="00C14D50">
        <w:rPr>
          <w:i/>
          <w:sz w:val="24"/>
          <w:szCs w:val="24"/>
          <w:lang w:eastAsia="en-GB"/>
        </w:rPr>
        <w:t>Local Governance in Central and Eastern Europe: Comparing Performance in the Czech Republic, Hungary, Poland and Russia</w:t>
      </w:r>
      <w:r w:rsidRPr="00C14D50">
        <w:rPr>
          <w:sz w:val="24"/>
          <w:szCs w:val="24"/>
          <w:lang w:eastAsia="en-GB"/>
        </w:rPr>
        <w:t>. Basingstoke: Palgrave Macmillan.</w:t>
      </w:r>
    </w:p>
    <w:p w14:paraId="1640362A"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Larson, A. M. (2008) “Indigenous Peoples, Representation and Citizenship in Guatemalan Forestry”, </w:t>
      </w:r>
      <w:r w:rsidRPr="00C14D50">
        <w:rPr>
          <w:i/>
          <w:iCs/>
          <w:sz w:val="24"/>
          <w:szCs w:val="24"/>
          <w:lang w:eastAsia="en-GB"/>
        </w:rPr>
        <w:t>Conservation and Society</w:t>
      </w:r>
      <w:r w:rsidRPr="00C14D50">
        <w:rPr>
          <w:iCs/>
          <w:sz w:val="24"/>
          <w:szCs w:val="24"/>
          <w:lang w:eastAsia="en-GB"/>
        </w:rPr>
        <w:t xml:space="preserve"> 6(1):</w:t>
      </w:r>
      <w:r w:rsidRPr="00C14D50">
        <w:rPr>
          <w:sz w:val="24"/>
          <w:szCs w:val="24"/>
          <w:lang w:eastAsia="en-GB"/>
        </w:rPr>
        <w:t xml:space="preserve"> 35–48.</w:t>
      </w:r>
    </w:p>
    <w:p w14:paraId="386AA19B" w14:textId="77777777" w:rsidR="00771F89" w:rsidRPr="00C14D50" w:rsidRDefault="00771F89" w:rsidP="00C14D50">
      <w:pPr>
        <w:spacing w:line="360" w:lineRule="auto"/>
        <w:ind w:left="720" w:hanging="720"/>
        <w:rPr>
          <w:iCs/>
          <w:sz w:val="24"/>
          <w:szCs w:val="24"/>
          <w:lang w:eastAsia="en-GB"/>
        </w:rPr>
      </w:pPr>
      <w:r w:rsidRPr="00C14D50">
        <w:rPr>
          <w:sz w:val="24"/>
          <w:szCs w:val="24"/>
          <w:lang w:eastAsia="en-GB"/>
        </w:rPr>
        <w:t>Larson, A. M. and J. C. Ribot (2007) “</w:t>
      </w:r>
      <w:r w:rsidRPr="00C14D50">
        <w:rPr>
          <w:iCs/>
          <w:sz w:val="24"/>
          <w:szCs w:val="24"/>
          <w:lang w:eastAsia="en-GB"/>
        </w:rPr>
        <w:t xml:space="preserve">The Poverty of Forestry Policy: Double Standards on an Uneven Playing Field”, </w:t>
      </w:r>
      <w:r w:rsidRPr="00C14D50">
        <w:rPr>
          <w:i/>
          <w:sz w:val="24"/>
          <w:szCs w:val="24"/>
          <w:lang w:eastAsia="en-GB"/>
        </w:rPr>
        <w:t>Journal of Sustainability Science</w:t>
      </w:r>
      <w:r w:rsidRPr="00C14D50">
        <w:rPr>
          <w:iCs/>
          <w:sz w:val="24"/>
          <w:szCs w:val="24"/>
          <w:lang w:eastAsia="en-GB"/>
        </w:rPr>
        <w:t xml:space="preserve"> 2(2). Available at &lt;</w:t>
      </w:r>
      <w:r w:rsidRPr="00C14D50">
        <w:rPr>
          <w:sz w:val="24"/>
          <w:szCs w:val="24"/>
        </w:rPr>
        <w:t>http://pdf.wri.org/sustainability_science_poverty_of_forestry_policy.pdf&gt; (accessed 9 April 2013)</w:t>
      </w:r>
    </w:p>
    <w:p w14:paraId="6DC6818F"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Lugard, F. D. (1926) </w:t>
      </w:r>
      <w:r w:rsidRPr="00C14D50">
        <w:rPr>
          <w:i/>
          <w:iCs/>
          <w:sz w:val="24"/>
          <w:szCs w:val="24"/>
          <w:lang w:eastAsia="en-GB"/>
        </w:rPr>
        <w:t>The Dual Mandate in British Tropical Africa</w:t>
      </w:r>
      <w:r w:rsidRPr="00C14D50">
        <w:rPr>
          <w:iCs/>
          <w:sz w:val="24"/>
          <w:szCs w:val="24"/>
          <w:lang w:eastAsia="en-GB"/>
        </w:rPr>
        <w:t xml:space="preserve">. </w:t>
      </w:r>
      <w:r w:rsidRPr="00C14D50">
        <w:rPr>
          <w:sz w:val="24"/>
          <w:szCs w:val="24"/>
          <w:lang w:eastAsia="en-GB"/>
        </w:rPr>
        <w:t>Edinburgh and London: William Blackwood and Sons.</w:t>
      </w:r>
    </w:p>
    <w:p w14:paraId="73654B60"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Mamdani, M. (1996) </w:t>
      </w:r>
      <w:r w:rsidRPr="00C14D50">
        <w:rPr>
          <w:i/>
          <w:sz w:val="24"/>
          <w:szCs w:val="24"/>
          <w:lang w:eastAsia="en-GB"/>
        </w:rPr>
        <w:t>Citizen and Subject: Contemporary Africa and the Legacy of Late Colonialism</w:t>
      </w:r>
      <w:r w:rsidRPr="00C14D50">
        <w:rPr>
          <w:sz w:val="24"/>
          <w:szCs w:val="24"/>
          <w:lang w:eastAsia="en-GB"/>
        </w:rPr>
        <w:t>. Princeton, NJ: Princeton University Press.</w:t>
      </w:r>
    </w:p>
    <w:p w14:paraId="1009889B"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val="en-US"/>
        </w:rPr>
        <w:t>Mandondo</w:t>
      </w:r>
      <w:proofErr w:type="spellEnd"/>
      <w:r w:rsidRPr="00C14D50">
        <w:rPr>
          <w:sz w:val="24"/>
          <w:szCs w:val="24"/>
          <w:lang w:val="en-US"/>
        </w:rPr>
        <w:t xml:space="preserve">, A., 2015, Examining the democracy outcomes of environmental subsidiarity: the case of a carbon forestry initiative from central Mozambique, Responsive Forest Governance Initiative (RFGI) Working Paper </w:t>
      </w:r>
      <w:proofErr w:type="gramStart"/>
      <w:r w:rsidRPr="00C14D50">
        <w:rPr>
          <w:sz w:val="24"/>
          <w:szCs w:val="24"/>
          <w:lang w:val="en-US"/>
        </w:rPr>
        <w:t>Series ,</w:t>
      </w:r>
      <w:proofErr w:type="gramEnd"/>
      <w:r w:rsidRPr="00C14D50">
        <w:rPr>
          <w:sz w:val="24"/>
          <w:szCs w:val="24"/>
          <w:lang w:val="en-US"/>
        </w:rPr>
        <w:t xml:space="preserve"> Dakar: CODESRIA.</w:t>
      </w:r>
    </w:p>
    <w:p w14:paraId="58CA56FB"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Manin, B., A. Przeworski and S. Stokes (1999) “Elections and Representation”, in A. Przeworski, S. Stokes and B. Manin (eds) </w:t>
      </w:r>
      <w:r w:rsidRPr="00C14D50">
        <w:rPr>
          <w:i/>
          <w:sz w:val="24"/>
          <w:szCs w:val="24"/>
          <w:lang w:eastAsia="en-GB"/>
        </w:rPr>
        <w:t>Democracy, Accountability, and Representation</w:t>
      </w:r>
      <w:r w:rsidRPr="00C14D50">
        <w:rPr>
          <w:sz w:val="24"/>
          <w:szCs w:val="24"/>
          <w:lang w:eastAsia="en-GB"/>
        </w:rPr>
        <w:t>. Cambridge: Cambridge University Press.</w:t>
      </w:r>
    </w:p>
    <w:p w14:paraId="6577CF9F"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lastRenderedPageBreak/>
        <w:t xml:space="preserve">Manor, J. (2004) “User Committees: A Potentially Damaging Second Wave of Decentralization?”, </w:t>
      </w:r>
      <w:r w:rsidRPr="00C14D50">
        <w:rPr>
          <w:i/>
          <w:sz w:val="24"/>
          <w:szCs w:val="24"/>
          <w:lang w:eastAsia="en-GB"/>
        </w:rPr>
        <w:t>European Journal of Development Research</w:t>
      </w:r>
      <w:r w:rsidRPr="00C14D50">
        <w:rPr>
          <w:sz w:val="24"/>
          <w:szCs w:val="24"/>
          <w:lang w:eastAsia="en-GB"/>
        </w:rPr>
        <w:t xml:space="preserve"> 16(1): 192–213.</w:t>
      </w:r>
    </w:p>
    <w:p w14:paraId="4064EAF1"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Mansuri, G. and V. Rao (2003) “Evaluating Community-Driven Development: A Review of the Evidence”, First Draft Report, Development Research Group. World Bank.</w:t>
      </w:r>
    </w:p>
    <w:p w14:paraId="7A95F3C4"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Markell, P. (2000) “The Recognition of Politics: A Comment on </w:t>
      </w:r>
      <w:proofErr w:type="spellStart"/>
      <w:r w:rsidRPr="00C14D50">
        <w:rPr>
          <w:sz w:val="24"/>
          <w:szCs w:val="24"/>
          <w:lang w:eastAsia="en-GB"/>
        </w:rPr>
        <w:t>Emcke</w:t>
      </w:r>
      <w:proofErr w:type="spellEnd"/>
      <w:r w:rsidRPr="00C14D50">
        <w:rPr>
          <w:sz w:val="24"/>
          <w:szCs w:val="24"/>
          <w:lang w:eastAsia="en-GB"/>
        </w:rPr>
        <w:t xml:space="preserve"> and Tully”, </w:t>
      </w:r>
      <w:r w:rsidRPr="00C14D50">
        <w:rPr>
          <w:i/>
          <w:sz w:val="24"/>
          <w:szCs w:val="24"/>
          <w:lang w:eastAsia="en-GB"/>
        </w:rPr>
        <w:t>Constellations</w:t>
      </w:r>
      <w:r w:rsidRPr="00C14D50">
        <w:rPr>
          <w:sz w:val="24"/>
          <w:szCs w:val="24"/>
          <w:lang w:eastAsia="en-GB"/>
        </w:rPr>
        <w:t xml:space="preserve"> 7(4).</w:t>
      </w:r>
    </w:p>
    <w:p w14:paraId="65B5ACB3"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val="en-US"/>
        </w:rPr>
        <w:t>Mbeche</w:t>
      </w:r>
      <w:proofErr w:type="spellEnd"/>
      <w:r w:rsidRPr="00C14D50">
        <w:rPr>
          <w:sz w:val="24"/>
          <w:szCs w:val="24"/>
          <w:lang w:val="en-US"/>
        </w:rPr>
        <w:t xml:space="preserve">, R., 2015, REDD stakeholder consultation - symbolic or substantive democratic representation in preparing Uganda for REDD+? Responsive Forest Governance Initiative (RFGI) Working Paper </w:t>
      </w:r>
      <w:proofErr w:type="gramStart"/>
      <w:r w:rsidRPr="00C14D50">
        <w:rPr>
          <w:sz w:val="24"/>
          <w:szCs w:val="24"/>
          <w:lang w:val="en-US"/>
        </w:rPr>
        <w:t>Series ,</w:t>
      </w:r>
      <w:proofErr w:type="gramEnd"/>
      <w:r w:rsidRPr="00C14D50">
        <w:rPr>
          <w:sz w:val="24"/>
          <w:szCs w:val="24"/>
          <w:lang w:val="en-US"/>
        </w:rPr>
        <w:t xml:space="preserve"> Dakar: CODESRIA.</w:t>
      </w:r>
    </w:p>
    <w:p w14:paraId="05AF2AAB" w14:textId="77777777" w:rsidR="00771F89" w:rsidRPr="00C14D50" w:rsidRDefault="00771F89" w:rsidP="00C14D50">
      <w:pPr>
        <w:spacing w:line="360" w:lineRule="auto"/>
        <w:ind w:left="720" w:hanging="720"/>
        <w:rPr>
          <w:color w:val="FF0000"/>
          <w:sz w:val="24"/>
          <w:szCs w:val="24"/>
          <w:lang w:eastAsia="en-GB"/>
        </w:rPr>
      </w:pPr>
      <w:proofErr w:type="spellStart"/>
      <w:r w:rsidRPr="00C14D50">
        <w:rPr>
          <w:sz w:val="24"/>
          <w:szCs w:val="24"/>
          <w:lang w:eastAsia="en-GB"/>
        </w:rPr>
        <w:t>Mongbo</w:t>
      </w:r>
      <w:proofErr w:type="spellEnd"/>
      <w:r w:rsidRPr="00C14D50">
        <w:rPr>
          <w:sz w:val="24"/>
          <w:szCs w:val="24"/>
          <w:lang w:eastAsia="en-GB"/>
        </w:rPr>
        <w:t xml:space="preserve">, R. (2008) “State Building and Local Democracy in Benin: Two Cases of Decentralized Forest Management”, </w:t>
      </w:r>
      <w:r w:rsidRPr="00C14D50">
        <w:rPr>
          <w:i/>
          <w:iCs/>
          <w:sz w:val="24"/>
          <w:szCs w:val="24"/>
          <w:lang w:eastAsia="en-GB"/>
        </w:rPr>
        <w:t>Conservation and Society</w:t>
      </w:r>
      <w:r w:rsidRPr="00C14D50">
        <w:rPr>
          <w:iCs/>
          <w:sz w:val="24"/>
          <w:szCs w:val="24"/>
          <w:lang w:eastAsia="en-GB"/>
        </w:rPr>
        <w:t xml:space="preserve"> 6(1):</w:t>
      </w:r>
      <w:r w:rsidRPr="00C14D50">
        <w:rPr>
          <w:sz w:val="24"/>
          <w:szCs w:val="24"/>
          <w:lang w:eastAsia="en-GB"/>
        </w:rPr>
        <w:t xml:space="preserve"> 49–61.</w:t>
      </w:r>
    </w:p>
    <w:p w14:paraId="2C049B38"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Moore, M. (1997) “Death Without Taxes: Democracy, State Capacity, and Aid Dependence in the Fourth World”, in G. White and M. Robinson (eds) </w:t>
      </w:r>
      <w:r w:rsidRPr="00C14D50">
        <w:rPr>
          <w:i/>
          <w:iCs/>
          <w:sz w:val="24"/>
          <w:szCs w:val="24"/>
          <w:lang w:eastAsia="en-GB"/>
        </w:rPr>
        <w:t>Towards a Democratic Developmental State</w:t>
      </w:r>
      <w:r w:rsidRPr="00C14D50">
        <w:rPr>
          <w:iCs/>
          <w:sz w:val="24"/>
          <w:szCs w:val="24"/>
          <w:lang w:eastAsia="en-GB"/>
        </w:rPr>
        <w:t>.</w:t>
      </w:r>
      <w:r w:rsidRPr="00C14D50">
        <w:rPr>
          <w:sz w:val="24"/>
          <w:szCs w:val="24"/>
          <w:lang w:eastAsia="en-GB"/>
        </w:rPr>
        <w:t xml:space="preserve"> Oxford: Oxford University Press, pp. 84–121.</w:t>
      </w:r>
    </w:p>
    <w:p w14:paraId="47C3768E"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eastAsia="en-GB"/>
        </w:rPr>
        <w:t>Mosse</w:t>
      </w:r>
      <w:proofErr w:type="spellEnd"/>
      <w:r w:rsidRPr="00C14D50">
        <w:rPr>
          <w:sz w:val="24"/>
          <w:szCs w:val="24"/>
          <w:lang w:eastAsia="en-GB"/>
        </w:rPr>
        <w:t xml:space="preserve">, D. (2001) “‘People’s Knowledge’, Participation and Patronage: Operations and Representations in Rural Development”, in B. Cook and U. Kothari (eds) </w:t>
      </w:r>
      <w:r w:rsidRPr="00C14D50">
        <w:rPr>
          <w:i/>
          <w:sz w:val="24"/>
          <w:szCs w:val="24"/>
          <w:lang w:eastAsia="en-GB"/>
        </w:rPr>
        <w:t>Participation: The New Tyranny?</w:t>
      </w:r>
      <w:r w:rsidRPr="00C14D50">
        <w:rPr>
          <w:sz w:val="24"/>
          <w:szCs w:val="24"/>
          <w:lang w:eastAsia="en-GB"/>
        </w:rPr>
        <w:t xml:space="preserve"> London: Zed Books, pp. 16–36.</w:t>
      </w:r>
    </w:p>
    <w:p w14:paraId="30A7FCCE"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val="en-US"/>
        </w:rPr>
        <w:t>Nakangu</w:t>
      </w:r>
      <w:proofErr w:type="spellEnd"/>
      <w:r w:rsidRPr="00C14D50">
        <w:rPr>
          <w:sz w:val="24"/>
          <w:szCs w:val="24"/>
          <w:lang w:val="en-US"/>
        </w:rPr>
        <w:t>, B., 2012, Examining the Effect of REDD+ on Representation in Local Communities: A Case of Mt. Elgon Regional Conservation Project (MERECP), Mt. Elgon, Uganda. Draft RFGI working paper, Mimeo.</w:t>
      </w:r>
    </w:p>
    <w:p w14:paraId="379A2ECC"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rPr>
        <w:t>Namara</w:t>
      </w:r>
      <w:proofErr w:type="spellEnd"/>
      <w:r w:rsidRPr="00C14D50">
        <w:rPr>
          <w:sz w:val="24"/>
          <w:szCs w:val="24"/>
        </w:rPr>
        <w:t xml:space="preserve">, A. and X. </w:t>
      </w:r>
      <w:proofErr w:type="spellStart"/>
      <w:r w:rsidRPr="00C14D50">
        <w:rPr>
          <w:sz w:val="24"/>
          <w:szCs w:val="24"/>
        </w:rPr>
        <w:t>Nsabagasani</w:t>
      </w:r>
      <w:proofErr w:type="spellEnd"/>
      <w:r w:rsidRPr="00C14D50">
        <w:rPr>
          <w:sz w:val="24"/>
          <w:szCs w:val="24"/>
        </w:rPr>
        <w:t xml:space="preserve"> (2003) “Decentralization and Wildlife Management: Devolving Rights or Shedding Responsibility? Bwindi Impenetrable National Park, Uganda”, Environmental Governance in Africa, Working Paper No. 9. Washington, DC: World Resources Institute.</w:t>
      </w:r>
    </w:p>
    <w:p w14:paraId="31021849"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Ntsebeza, L. (2005) “Democratic Decentralization and Traditional Authority: Dilemmas of Land Administration in Rural South Africa”, in J. C. Ribot and A. M. Larson (eds) </w:t>
      </w:r>
      <w:r w:rsidRPr="00C14D50">
        <w:rPr>
          <w:i/>
          <w:sz w:val="24"/>
          <w:szCs w:val="24"/>
          <w:lang w:eastAsia="en-GB"/>
        </w:rPr>
        <w:t>Decentralization of Natural Resources: Experiences in Africa, Asia and Latin America</w:t>
      </w:r>
      <w:r w:rsidRPr="00C14D50">
        <w:rPr>
          <w:sz w:val="24"/>
          <w:szCs w:val="24"/>
          <w:lang w:eastAsia="en-GB"/>
        </w:rPr>
        <w:t>. London: Frank Cass.</w:t>
      </w:r>
    </w:p>
    <w:p w14:paraId="386A69A2"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Ostrom, E. (1990) </w:t>
      </w:r>
      <w:r w:rsidRPr="00C14D50">
        <w:rPr>
          <w:i/>
          <w:sz w:val="24"/>
          <w:szCs w:val="24"/>
          <w:lang w:eastAsia="en-GB"/>
        </w:rPr>
        <w:t>Governing the Commons: The Evolution of Institutions for Collective Action</w:t>
      </w:r>
      <w:r w:rsidRPr="00C14D50">
        <w:rPr>
          <w:sz w:val="24"/>
          <w:szCs w:val="24"/>
          <w:lang w:eastAsia="en-GB"/>
        </w:rPr>
        <w:t>. Cambridge: Cambridge University Press.</w:t>
      </w:r>
    </w:p>
    <w:p w14:paraId="65633FC5" w14:textId="77777777" w:rsidR="00771F89" w:rsidRPr="00C14D50" w:rsidRDefault="00771F89" w:rsidP="00C14D50">
      <w:pPr>
        <w:spacing w:line="360" w:lineRule="auto"/>
        <w:ind w:left="720" w:hanging="720"/>
        <w:rPr>
          <w:sz w:val="24"/>
          <w:szCs w:val="24"/>
          <w:lang w:eastAsia="en-GB"/>
        </w:rPr>
      </w:pPr>
      <w:r w:rsidRPr="00C14D50">
        <w:rPr>
          <w:sz w:val="24"/>
          <w:szCs w:val="24"/>
        </w:rPr>
        <w:t xml:space="preserve">Phelps, J., E. L. Webb and A. Agrawal (2010) “Does REDD+ Threaten to Recentralize Forest Governance?”, </w:t>
      </w:r>
      <w:r w:rsidRPr="00C14D50">
        <w:rPr>
          <w:i/>
          <w:iCs/>
          <w:sz w:val="24"/>
          <w:szCs w:val="24"/>
        </w:rPr>
        <w:t>Science</w:t>
      </w:r>
      <w:r w:rsidRPr="00C14D50">
        <w:rPr>
          <w:iCs/>
          <w:sz w:val="24"/>
          <w:szCs w:val="24"/>
        </w:rPr>
        <w:t xml:space="preserve"> 328</w:t>
      </w:r>
      <w:r w:rsidRPr="00C14D50">
        <w:rPr>
          <w:sz w:val="24"/>
          <w:szCs w:val="24"/>
        </w:rPr>
        <w:t>(5976): 312–313.</w:t>
      </w:r>
    </w:p>
    <w:p w14:paraId="2B925331"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Poteete, A. (2007) “How National Political Competition Affects Natural Resource Policy: The Case of Community-Based Natural Resource Management in Botswana”, Paper </w:t>
      </w:r>
      <w:r w:rsidRPr="00C14D50">
        <w:rPr>
          <w:sz w:val="24"/>
          <w:szCs w:val="24"/>
          <w:lang w:eastAsia="en-GB"/>
        </w:rPr>
        <w:lastRenderedPageBreak/>
        <w:t>presented at the 2007 Annual Conference of the Canadian Political Science Association, Saskatoon, Canada, 30 May – 1 June.</w:t>
      </w:r>
    </w:p>
    <w:p w14:paraId="278E447C"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Povinelli, E. A. (2002) </w:t>
      </w:r>
      <w:r w:rsidRPr="00C14D50">
        <w:rPr>
          <w:i/>
          <w:sz w:val="24"/>
          <w:szCs w:val="24"/>
          <w:lang w:eastAsia="en-GB"/>
        </w:rPr>
        <w:t>The Cunning of Recognition: Indigenous Alterities and the Making of Australian Multiculturalism</w:t>
      </w:r>
      <w:r w:rsidRPr="00C14D50">
        <w:rPr>
          <w:sz w:val="24"/>
          <w:szCs w:val="24"/>
          <w:lang w:eastAsia="en-GB"/>
        </w:rPr>
        <w:t>. Durham, NC: Duke University Press.</w:t>
      </w:r>
    </w:p>
    <w:p w14:paraId="17E6200B"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eastAsia="en-GB"/>
        </w:rPr>
        <w:t>Prichett</w:t>
      </w:r>
      <w:proofErr w:type="spellEnd"/>
      <w:r w:rsidRPr="00C14D50">
        <w:rPr>
          <w:sz w:val="24"/>
          <w:szCs w:val="24"/>
          <w:lang w:eastAsia="en-GB"/>
        </w:rPr>
        <w:t xml:space="preserve">, L. and M. Woolcock (2004) “Solutions When the Solution Is the Problem: Arraying the Disarray in Development”, </w:t>
      </w:r>
      <w:r w:rsidRPr="00C14D50">
        <w:rPr>
          <w:i/>
          <w:sz w:val="24"/>
          <w:szCs w:val="24"/>
          <w:lang w:eastAsia="en-GB"/>
        </w:rPr>
        <w:t>World Development</w:t>
      </w:r>
      <w:r w:rsidRPr="00C14D50">
        <w:rPr>
          <w:sz w:val="24"/>
          <w:szCs w:val="24"/>
          <w:lang w:eastAsia="en-GB"/>
        </w:rPr>
        <w:t xml:space="preserve"> 32(2): 191–212.</w:t>
      </w:r>
    </w:p>
    <w:p w14:paraId="7267F50C"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eastAsia="en-GB"/>
        </w:rPr>
        <w:t>Resosudarmo</w:t>
      </w:r>
      <w:proofErr w:type="spellEnd"/>
      <w:r w:rsidRPr="00C14D50">
        <w:rPr>
          <w:sz w:val="24"/>
          <w:szCs w:val="24"/>
          <w:lang w:eastAsia="en-GB"/>
        </w:rPr>
        <w:t xml:space="preserve">, I. A. P. (2005) “Closer to People and Trees: Will Decentralization Work for the People and Forests of Indonesia?”, in J. C. Ribot and A. M. Larson (eds) </w:t>
      </w:r>
      <w:r w:rsidRPr="00C14D50">
        <w:rPr>
          <w:i/>
          <w:sz w:val="24"/>
          <w:szCs w:val="24"/>
          <w:lang w:eastAsia="en-GB"/>
        </w:rPr>
        <w:t>Democratic Decentralization Through a Natural Resource Lens</w:t>
      </w:r>
      <w:r w:rsidRPr="00C14D50">
        <w:rPr>
          <w:sz w:val="24"/>
          <w:szCs w:val="24"/>
          <w:lang w:eastAsia="en-GB"/>
        </w:rPr>
        <w:t>. New York: Routledge, pp. 110–132.</w:t>
      </w:r>
    </w:p>
    <w:p w14:paraId="1930D043" w14:textId="77777777" w:rsidR="00771F89" w:rsidRPr="00C14D50" w:rsidRDefault="00771F89" w:rsidP="00C14D50">
      <w:pPr>
        <w:spacing w:line="360" w:lineRule="auto"/>
        <w:ind w:left="720" w:hanging="720"/>
        <w:rPr>
          <w:rStyle w:val="Hyperlink"/>
          <w:sz w:val="24"/>
          <w:szCs w:val="24"/>
          <w:lang w:eastAsia="en-GB"/>
        </w:rPr>
      </w:pPr>
      <w:r w:rsidRPr="00C14D50">
        <w:rPr>
          <w:sz w:val="24"/>
          <w:szCs w:val="24"/>
        </w:rPr>
        <w:t xml:space="preserve">Ribot, J. 2016. ‘RFGI Handbook I: Leveraging Local Democracy through Forestry’ Responsive Forest Governance Initiative Working Paper No. 34, Dakar: CODESRIA/ IUCN/ University of Illinois. See: </w:t>
      </w:r>
      <w:hyperlink r:id="rId14" w:history="1">
        <w:r w:rsidRPr="00C14D50">
          <w:rPr>
            <w:rStyle w:val="Hyperlink"/>
            <w:sz w:val="24"/>
            <w:szCs w:val="24"/>
          </w:rPr>
          <w:t>https://sdep.earth.illinois.edu/files/RFGI_Working_Papers/RFGI%20N%C2%B034_Ribot%20RFGI%20Handbook%20I.pdf</w:t>
        </w:r>
      </w:hyperlink>
    </w:p>
    <w:p w14:paraId="00B25A68" w14:textId="77777777" w:rsidR="00771F89" w:rsidRPr="00C14D50" w:rsidRDefault="00771F89" w:rsidP="00C14D50">
      <w:pPr>
        <w:spacing w:line="360" w:lineRule="auto"/>
        <w:ind w:left="720" w:hanging="720"/>
        <w:rPr>
          <w:rStyle w:val="Hyperlink"/>
          <w:sz w:val="24"/>
          <w:szCs w:val="24"/>
          <w:lang w:eastAsia="en-GB"/>
        </w:rPr>
      </w:pPr>
      <w:r w:rsidRPr="00C14D50">
        <w:rPr>
          <w:sz w:val="24"/>
          <w:szCs w:val="24"/>
        </w:rPr>
        <w:t xml:space="preserve">Ribot, J. 2017. ‘Choose Democracy: Guidance for Democratizing through Natural Resource Management Interventions,’ a Responsive Forest Governance Initiative (RFGI) policy brief of the Swedish International </w:t>
      </w:r>
      <w:proofErr w:type="spellStart"/>
      <w:r w:rsidRPr="00C14D50">
        <w:rPr>
          <w:sz w:val="24"/>
          <w:szCs w:val="24"/>
        </w:rPr>
        <w:t>Center</w:t>
      </w:r>
      <w:proofErr w:type="spellEnd"/>
      <w:r w:rsidRPr="00C14D50">
        <w:rPr>
          <w:sz w:val="24"/>
          <w:szCs w:val="24"/>
        </w:rPr>
        <w:t xml:space="preserve"> for Local Democracy (ICLD) with CODESRIA, IUCN and University of Illinois [Also available in French 2018 as ‘</w:t>
      </w:r>
      <w:proofErr w:type="spellStart"/>
      <w:r w:rsidRPr="00C14D50">
        <w:rPr>
          <w:rFonts w:eastAsia="Calibri"/>
          <w:i/>
          <w:sz w:val="24"/>
          <w:szCs w:val="24"/>
        </w:rPr>
        <w:t>Choisir</w:t>
      </w:r>
      <w:proofErr w:type="spellEnd"/>
      <w:r w:rsidRPr="00C14D50">
        <w:rPr>
          <w:rFonts w:eastAsia="Calibri"/>
          <w:i/>
          <w:sz w:val="24"/>
          <w:szCs w:val="24"/>
        </w:rPr>
        <w:t xml:space="preserve"> la </w:t>
      </w:r>
      <w:proofErr w:type="spellStart"/>
      <w:r w:rsidRPr="00C14D50">
        <w:rPr>
          <w:rFonts w:eastAsia="Calibri"/>
          <w:i/>
          <w:sz w:val="24"/>
          <w:szCs w:val="24"/>
        </w:rPr>
        <w:t>démocratie</w:t>
      </w:r>
      <w:proofErr w:type="spellEnd"/>
      <w:r w:rsidRPr="00C14D50">
        <w:rPr>
          <w:rFonts w:eastAsia="Calibri"/>
          <w:i/>
          <w:sz w:val="24"/>
          <w:szCs w:val="24"/>
        </w:rPr>
        <w:t xml:space="preserve"> : la gestion des </w:t>
      </w:r>
      <w:proofErr w:type="spellStart"/>
      <w:r w:rsidRPr="00C14D50">
        <w:rPr>
          <w:rFonts w:eastAsia="Calibri"/>
          <w:i/>
          <w:sz w:val="24"/>
          <w:szCs w:val="24"/>
        </w:rPr>
        <w:t>ressources</w:t>
      </w:r>
      <w:proofErr w:type="spellEnd"/>
      <w:r w:rsidRPr="00C14D50">
        <w:rPr>
          <w:rFonts w:eastAsia="Calibri"/>
          <w:i/>
          <w:sz w:val="24"/>
          <w:szCs w:val="24"/>
        </w:rPr>
        <w:t xml:space="preserve"> </w:t>
      </w:r>
      <w:proofErr w:type="spellStart"/>
      <w:r w:rsidRPr="00C14D50">
        <w:rPr>
          <w:rFonts w:eastAsia="Calibri"/>
          <w:i/>
          <w:sz w:val="24"/>
          <w:szCs w:val="24"/>
        </w:rPr>
        <w:t>naturelles</w:t>
      </w:r>
      <w:proofErr w:type="spellEnd"/>
      <w:r w:rsidRPr="00C14D50">
        <w:rPr>
          <w:rFonts w:eastAsia="Calibri"/>
          <w:i/>
          <w:sz w:val="24"/>
          <w:szCs w:val="24"/>
        </w:rPr>
        <w:t xml:space="preserve"> pour les </w:t>
      </w:r>
      <w:proofErr w:type="spellStart"/>
      <w:r w:rsidRPr="00C14D50">
        <w:rPr>
          <w:rFonts w:eastAsia="Calibri"/>
          <w:i/>
          <w:sz w:val="24"/>
          <w:szCs w:val="24"/>
        </w:rPr>
        <w:t>décideurs</w:t>
      </w:r>
      <w:proofErr w:type="spellEnd"/>
      <w:r w:rsidRPr="00C14D50">
        <w:rPr>
          <w:rFonts w:eastAsia="Calibri"/>
          <w:i/>
          <w:sz w:val="24"/>
          <w:szCs w:val="24"/>
        </w:rPr>
        <w:t xml:space="preserve">, </w:t>
      </w:r>
      <w:proofErr w:type="spellStart"/>
      <w:r w:rsidRPr="00C14D50">
        <w:rPr>
          <w:rFonts w:eastAsia="Calibri"/>
          <w:i/>
          <w:sz w:val="24"/>
          <w:szCs w:val="24"/>
        </w:rPr>
        <w:t>bailleurs</w:t>
      </w:r>
      <w:proofErr w:type="spellEnd"/>
      <w:r w:rsidRPr="00C14D50">
        <w:rPr>
          <w:rFonts w:eastAsia="Calibri"/>
          <w:i/>
          <w:sz w:val="24"/>
          <w:szCs w:val="24"/>
        </w:rPr>
        <w:t xml:space="preserve"> de fonds, et agents de terrain</w:t>
      </w:r>
      <w:r w:rsidRPr="00C14D50">
        <w:rPr>
          <w:sz w:val="24"/>
          <w:szCs w:val="24"/>
        </w:rPr>
        <w:t xml:space="preserve">’]. </w:t>
      </w:r>
      <w:hyperlink r:id="rId15" w:history="1">
        <w:r w:rsidRPr="00C14D50">
          <w:rPr>
            <w:rStyle w:val="Hyperlink"/>
            <w:sz w:val="24"/>
            <w:szCs w:val="24"/>
          </w:rPr>
          <w:t>https://sdep.earth.illinois.edu/files/Ribot_2017_Choosing_Democracy.pdf</w:t>
        </w:r>
      </w:hyperlink>
    </w:p>
    <w:p w14:paraId="554306DF"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Ribot, J. C. (1999) “Decentralization and Participation in Sahelian Forestry: Legal Instruments of Central Political-Administrative Control”, </w:t>
      </w:r>
      <w:r w:rsidRPr="00C14D50">
        <w:rPr>
          <w:i/>
          <w:sz w:val="24"/>
          <w:szCs w:val="24"/>
          <w:lang w:eastAsia="en-GB"/>
        </w:rPr>
        <w:t>Africa</w:t>
      </w:r>
      <w:r w:rsidRPr="00C14D50">
        <w:rPr>
          <w:sz w:val="24"/>
          <w:szCs w:val="24"/>
          <w:lang w:eastAsia="en-GB"/>
        </w:rPr>
        <w:t xml:space="preserve"> 69(1).</w:t>
      </w:r>
    </w:p>
    <w:p w14:paraId="076B709C"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Ribot, J. C. (2003) “Democratic Decentralization of Natural Resources: Institutional Choice and Discretionary Power Transfers in Sub-Saharan Africa”, </w:t>
      </w:r>
      <w:r w:rsidRPr="00C14D50">
        <w:rPr>
          <w:i/>
          <w:sz w:val="24"/>
          <w:szCs w:val="24"/>
          <w:lang w:eastAsia="en-GB"/>
        </w:rPr>
        <w:t>Public Administration and Development</w:t>
      </w:r>
      <w:r w:rsidRPr="00C14D50">
        <w:rPr>
          <w:sz w:val="24"/>
          <w:szCs w:val="24"/>
          <w:lang w:eastAsia="en-GB"/>
        </w:rPr>
        <w:t xml:space="preserve"> 23(1).</w:t>
      </w:r>
    </w:p>
    <w:p w14:paraId="3FCBB636"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Ribot, J. C. (2004) </w:t>
      </w:r>
      <w:r w:rsidRPr="00C14D50">
        <w:rPr>
          <w:i/>
          <w:iCs/>
          <w:sz w:val="24"/>
          <w:szCs w:val="24"/>
          <w:lang w:eastAsia="en-GB"/>
        </w:rPr>
        <w:t>Waiting for Democracy: The Politics of Choice in Natural Resource Decentralizations</w:t>
      </w:r>
      <w:r w:rsidRPr="00C14D50">
        <w:rPr>
          <w:iCs/>
          <w:sz w:val="24"/>
          <w:szCs w:val="24"/>
          <w:lang w:eastAsia="en-GB"/>
        </w:rPr>
        <w:t xml:space="preserve">. </w:t>
      </w:r>
      <w:r w:rsidRPr="00C14D50">
        <w:rPr>
          <w:sz w:val="24"/>
          <w:szCs w:val="24"/>
          <w:lang w:eastAsia="en-GB"/>
        </w:rPr>
        <w:t>Washington, DC: World Resources Institute. [Published in French in 2007.]</w:t>
      </w:r>
    </w:p>
    <w:p w14:paraId="051A0F89"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Ribot, J. C. (2006) “Choose Democracy: Environmentalists’ Socio-political Responsibility”, </w:t>
      </w:r>
      <w:r w:rsidRPr="00C14D50">
        <w:rPr>
          <w:i/>
          <w:sz w:val="24"/>
          <w:szCs w:val="24"/>
          <w:lang w:eastAsia="en-GB"/>
        </w:rPr>
        <w:t>Global Environmental Change</w:t>
      </w:r>
      <w:r w:rsidRPr="00C14D50">
        <w:rPr>
          <w:sz w:val="24"/>
          <w:szCs w:val="24"/>
          <w:lang w:eastAsia="en-GB"/>
        </w:rPr>
        <w:t xml:space="preserve"> 16.</w:t>
      </w:r>
    </w:p>
    <w:p w14:paraId="53D2AD0C"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Ribot, J. C. (2007) “Institutional Choice and Recognition in the Consolidation of Local Democracy”, </w:t>
      </w:r>
      <w:r w:rsidRPr="00C14D50">
        <w:rPr>
          <w:i/>
          <w:sz w:val="24"/>
          <w:szCs w:val="24"/>
          <w:lang w:eastAsia="en-GB"/>
        </w:rPr>
        <w:t>Democracy</w:t>
      </w:r>
      <w:r w:rsidRPr="00C14D50">
        <w:rPr>
          <w:sz w:val="24"/>
          <w:szCs w:val="24"/>
          <w:lang w:eastAsia="en-GB"/>
        </w:rPr>
        <w:t xml:space="preserve"> 50(1): 43–49.</w:t>
      </w:r>
    </w:p>
    <w:p w14:paraId="54457AA0"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lastRenderedPageBreak/>
        <w:t xml:space="preserve">Ribot, J. C. (2008) </w:t>
      </w:r>
      <w:r w:rsidRPr="00C14D50">
        <w:rPr>
          <w:i/>
          <w:iCs/>
          <w:sz w:val="24"/>
          <w:szCs w:val="24"/>
          <w:lang w:eastAsia="en-GB"/>
        </w:rPr>
        <w:t>Building Local Democracy Through Natural Resources Interventions: An Environmentalist’s Responsibility</w:t>
      </w:r>
      <w:r w:rsidRPr="00C14D50">
        <w:rPr>
          <w:iCs/>
          <w:sz w:val="24"/>
          <w:szCs w:val="24"/>
          <w:lang w:eastAsia="en-GB"/>
        </w:rPr>
        <w:t>,</w:t>
      </w:r>
      <w:r w:rsidRPr="00C14D50">
        <w:rPr>
          <w:sz w:val="24"/>
          <w:szCs w:val="24"/>
          <w:lang w:eastAsia="en-GB"/>
        </w:rPr>
        <w:t xml:space="preserve"> A Policy Brief. Washington, DC: World Resources Institute.</w:t>
      </w:r>
    </w:p>
    <w:p w14:paraId="087E4117"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Ribot, J. C. (2009) “Access over Authority: Recentralizing Benefits in Senegal’s Forestry Decentralization”, </w:t>
      </w:r>
      <w:r w:rsidRPr="00C14D50">
        <w:rPr>
          <w:i/>
          <w:sz w:val="24"/>
          <w:szCs w:val="24"/>
          <w:lang w:eastAsia="en-GB"/>
        </w:rPr>
        <w:t>Development and Change</w:t>
      </w:r>
      <w:r w:rsidRPr="00C14D50">
        <w:rPr>
          <w:sz w:val="24"/>
          <w:szCs w:val="24"/>
          <w:lang w:eastAsia="en-GB"/>
        </w:rPr>
        <w:t xml:space="preserve"> 40: 105–129.</w:t>
      </w:r>
    </w:p>
    <w:p w14:paraId="6E93D795"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Ribot, J. C. (2011) “Choice, Recognition and the Democracy Effects of Decentralization”, Working Paper No. 5, International </w:t>
      </w:r>
      <w:proofErr w:type="spellStart"/>
      <w:r w:rsidRPr="00C14D50">
        <w:rPr>
          <w:sz w:val="24"/>
          <w:szCs w:val="24"/>
          <w:lang w:eastAsia="en-GB"/>
        </w:rPr>
        <w:t>Center</w:t>
      </w:r>
      <w:proofErr w:type="spellEnd"/>
      <w:r w:rsidRPr="00C14D50">
        <w:rPr>
          <w:sz w:val="24"/>
          <w:szCs w:val="24"/>
          <w:lang w:eastAsia="en-GB"/>
        </w:rPr>
        <w:t xml:space="preserve"> for Local Democracy, Visby, </w:t>
      </w:r>
      <w:proofErr w:type="gramStart"/>
      <w:r w:rsidRPr="00C14D50">
        <w:rPr>
          <w:sz w:val="24"/>
          <w:szCs w:val="24"/>
          <w:lang w:eastAsia="en-GB"/>
        </w:rPr>
        <w:t>Sweden..</w:t>
      </w:r>
      <w:proofErr w:type="gramEnd"/>
    </w:p>
    <w:p w14:paraId="38C2733A"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Ribot, J. C., A. Agrawal and A. M. Larson (2006) “Recentralizing While Decentralizing: How National Governments Reappropriate Forest Resources”, </w:t>
      </w:r>
      <w:r w:rsidRPr="00C14D50">
        <w:rPr>
          <w:i/>
          <w:iCs/>
          <w:sz w:val="24"/>
          <w:szCs w:val="24"/>
          <w:lang w:eastAsia="en-GB"/>
        </w:rPr>
        <w:t>World Development</w:t>
      </w:r>
      <w:r w:rsidRPr="00C14D50">
        <w:rPr>
          <w:iCs/>
          <w:sz w:val="24"/>
          <w:szCs w:val="24"/>
          <w:lang w:eastAsia="en-GB"/>
        </w:rPr>
        <w:t xml:space="preserve"> 34(11):</w:t>
      </w:r>
      <w:r w:rsidRPr="00C14D50">
        <w:rPr>
          <w:sz w:val="24"/>
          <w:szCs w:val="24"/>
          <w:lang w:eastAsia="en-GB"/>
        </w:rPr>
        <w:t xml:space="preserve"> 1864–1886.</w:t>
      </w:r>
    </w:p>
    <w:p w14:paraId="16CB5AE7"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Ribot, J. C., A. Chhatre and T. Lankina (2008) “Institutional Choice and Recognition in the Formation and Consolidation of Local Democracy”, </w:t>
      </w:r>
      <w:r w:rsidRPr="00C14D50">
        <w:rPr>
          <w:i/>
          <w:sz w:val="24"/>
          <w:szCs w:val="24"/>
          <w:lang w:eastAsia="en-GB"/>
        </w:rPr>
        <w:t>Conservation and Society</w:t>
      </w:r>
      <w:r w:rsidRPr="00C14D50">
        <w:rPr>
          <w:sz w:val="24"/>
          <w:szCs w:val="24"/>
          <w:lang w:eastAsia="en-GB"/>
        </w:rPr>
        <w:t xml:space="preserve"> 6(1).</w:t>
      </w:r>
    </w:p>
    <w:p w14:paraId="126B19CD" w14:textId="77777777" w:rsidR="00771F89" w:rsidRPr="00C14D50" w:rsidRDefault="00771F89" w:rsidP="00C14D50">
      <w:pPr>
        <w:spacing w:line="360" w:lineRule="auto"/>
        <w:ind w:left="720" w:hanging="720"/>
        <w:rPr>
          <w:bCs/>
          <w:iCs/>
          <w:sz w:val="24"/>
          <w:szCs w:val="24"/>
          <w:lang w:eastAsia="en-GB"/>
        </w:rPr>
      </w:pPr>
      <w:r w:rsidRPr="00C14D50">
        <w:rPr>
          <w:sz w:val="24"/>
          <w:szCs w:val="24"/>
          <w:lang w:eastAsia="en-GB"/>
        </w:rPr>
        <w:t xml:space="preserve">Ribot, J. C., T. </w:t>
      </w:r>
      <w:proofErr w:type="spellStart"/>
      <w:r w:rsidRPr="00C14D50">
        <w:rPr>
          <w:sz w:val="24"/>
          <w:szCs w:val="24"/>
          <w:lang w:eastAsia="en-GB"/>
        </w:rPr>
        <w:t>Treue</w:t>
      </w:r>
      <w:proofErr w:type="spellEnd"/>
      <w:r w:rsidRPr="00C14D50">
        <w:rPr>
          <w:sz w:val="24"/>
          <w:szCs w:val="24"/>
          <w:lang w:eastAsia="en-GB"/>
        </w:rPr>
        <w:t xml:space="preserve"> and J. F. Lund (2010) “Democratic Decentralization in Sub-Saharan Africa: Its Contribution to Forest Management, Livelihoods, and Enfranchisement”, </w:t>
      </w:r>
      <w:r w:rsidRPr="00C14D50">
        <w:rPr>
          <w:bCs/>
          <w:i/>
          <w:iCs/>
          <w:sz w:val="24"/>
          <w:szCs w:val="24"/>
          <w:lang w:eastAsia="en-GB"/>
        </w:rPr>
        <w:t>Environmental Conservation</w:t>
      </w:r>
      <w:r w:rsidRPr="00C14D50">
        <w:rPr>
          <w:bCs/>
          <w:iCs/>
          <w:sz w:val="24"/>
          <w:szCs w:val="24"/>
          <w:lang w:eastAsia="en-GB"/>
        </w:rPr>
        <w:t xml:space="preserve"> 37(1).</w:t>
      </w:r>
    </w:p>
    <w:p w14:paraId="31C984B2"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Sikor, T. and C. Lund (eds) (2009) </w:t>
      </w:r>
      <w:r w:rsidRPr="00C14D50">
        <w:rPr>
          <w:i/>
          <w:iCs/>
          <w:sz w:val="24"/>
          <w:szCs w:val="24"/>
          <w:lang w:eastAsia="en-GB"/>
        </w:rPr>
        <w:t>Politics of Possession: Property, Authority, and Access to Natural Resources</w:t>
      </w:r>
      <w:r w:rsidRPr="00C14D50">
        <w:rPr>
          <w:sz w:val="24"/>
          <w:szCs w:val="24"/>
          <w:lang w:eastAsia="en-GB"/>
        </w:rPr>
        <w:t xml:space="preserve">. London: Wiley-Blackwell (first published in </w:t>
      </w:r>
      <w:r w:rsidRPr="00C14D50">
        <w:rPr>
          <w:i/>
          <w:iCs/>
          <w:sz w:val="24"/>
          <w:szCs w:val="24"/>
          <w:lang w:eastAsia="en-GB"/>
        </w:rPr>
        <w:t>Development and Change</w:t>
      </w:r>
      <w:r w:rsidRPr="00C14D50">
        <w:rPr>
          <w:sz w:val="24"/>
          <w:szCs w:val="24"/>
          <w:lang w:eastAsia="en-GB"/>
        </w:rPr>
        <w:t xml:space="preserve"> 40(1)).</w:t>
      </w:r>
    </w:p>
    <w:p w14:paraId="1AF4757C" w14:textId="77777777" w:rsidR="00771F89" w:rsidRPr="00C14D50" w:rsidRDefault="00771F89" w:rsidP="00C14D50">
      <w:pPr>
        <w:spacing w:line="360" w:lineRule="auto"/>
        <w:ind w:left="720" w:hanging="720"/>
        <w:rPr>
          <w:sz w:val="24"/>
          <w:szCs w:val="24"/>
          <w:lang w:eastAsia="en-GB"/>
        </w:rPr>
      </w:pPr>
      <w:r w:rsidRPr="00C14D50">
        <w:rPr>
          <w:color w:val="000000"/>
          <w:sz w:val="24"/>
          <w:szCs w:val="24"/>
          <w:lang w:eastAsia="en-GB"/>
        </w:rPr>
        <w:t>Sparke, M. (2004) “Passports into Credit Cards: On the Borders and Spaces of Neoliberal Citizenship”</w:t>
      </w:r>
      <w:r w:rsidRPr="00C14D50" w:rsidDel="00A617CB">
        <w:rPr>
          <w:color w:val="000000"/>
          <w:sz w:val="24"/>
          <w:szCs w:val="24"/>
          <w:lang w:eastAsia="en-GB"/>
        </w:rPr>
        <w:t>,</w:t>
      </w:r>
      <w:r w:rsidRPr="00C14D50">
        <w:rPr>
          <w:color w:val="000000"/>
          <w:sz w:val="24"/>
          <w:szCs w:val="24"/>
          <w:lang w:eastAsia="en-GB"/>
        </w:rPr>
        <w:t xml:space="preserve"> in J. S. Migdal (ed.) </w:t>
      </w:r>
      <w:r w:rsidRPr="00C14D50">
        <w:rPr>
          <w:i/>
          <w:color w:val="000000"/>
          <w:sz w:val="24"/>
          <w:szCs w:val="24"/>
          <w:lang w:eastAsia="en-GB"/>
        </w:rPr>
        <w:t>Boundaries and Belonging: States and Societies in the Struggle to Shape Identities and Local Practices</w:t>
      </w:r>
      <w:r w:rsidRPr="00C14D50">
        <w:rPr>
          <w:color w:val="000000"/>
          <w:sz w:val="24"/>
          <w:szCs w:val="24"/>
          <w:lang w:eastAsia="en-GB"/>
        </w:rPr>
        <w:t>. Cambridge: Cambridge University Press, pp. 251–283.</w:t>
      </w:r>
    </w:p>
    <w:p w14:paraId="2F4BE134" w14:textId="77777777" w:rsidR="00771F89" w:rsidRPr="00C14D50" w:rsidRDefault="00771F89" w:rsidP="00C14D50">
      <w:pPr>
        <w:spacing w:line="360" w:lineRule="auto"/>
        <w:ind w:left="720" w:hanging="720"/>
        <w:rPr>
          <w:color w:val="000025"/>
          <w:sz w:val="24"/>
          <w:szCs w:val="24"/>
          <w:lang w:eastAsia="en-GB"/>
        </w:rPr>
      </w:pPr>
      <w:proofErr w:type="spellStart"/>
      <w:r w:rsidRPr="00C14D50">
        <w:rPr>
          <w:color w:val="000025"/>
          <w:sz w:val="24"/>
          <w:szCs w:val="24"/>
          <w:lang w:eastAsia="en-GB"/>
        </w:rPr>
        <w:t>Spierenburg</w:t>
      </w:r>
      <w:proofErr w:type="spellEnd"/>
      <w:r w:rsidRPr="00C14D50">
        <w:rPr>
          <w:color w:val="000025"/>
          <w:sz w:val="24"/>
          <w:szCs w:val="24"/>
          <w:lang w:eastAsia="en-GB"/>
        </w:rPr>
        <w:t xml:space="preserve">, M. (1995) </w:t>
      </w:r>
      <w:r w:rsidRPr="00C14D50">
        <w:rPr>
          <w:i/>
          <w:iCs/>
          <w:color w:val="000025"/>
          <w:sz w:val="24"/>
          <w:szCs w:val="24"/>
          <w:lang w:eastAsia="en-GB"/>
        </w:rPr>
        <w:t xml:space="preserve">The Role of the Mhondoro Cult in the Struggle for Control over Land in </w:t>
      </w:r>
      <w:proofErr w:type="spellStart"/>
      <w:r w:rsidRPr="00C14D50">
        <w:rPr>
          <w:i/>
          <w:iCs/>
          <w:color w:val="000025"/>
          <w:sz w:val="24"/>
          <w:szCs w:val="24"/>
          <w:lang w:eastAsia="en-GB"/>
        </w:rPr>
        <w:t>Dande</w:t>
      </w:r>
      <w:proofErr w:type="spellEnd"/>
      <w:r w:rsidRPr="00C14D50">
        <w:rPr>
          <w:i/>
          <w:iCs/>
          <w:color w:val="000025"/>
          <w:sz w:val="24"/>
          <w:szCs w:val="24"/>
          <w:lang w:eastAsia="en-GB"/>
        </w:rPr>
        <w:t xml:space="preserve"> (Northern Zimbabwe): Social Commentaries and the Influence of Adherents</w:t>
      </w:r>
      <w:r w:rsidRPr="00C14D50">
        <w:rPr>
          <w:color w:val="000025"/>
          <w:sz w:val="24"/>
          <w:szCs w:val="24"/>
          <w:lang w:eastAsia="en-GB"/>
        </w:rPr>
        <w:t>, CASS Occasional Paper – NRM Series. Harare: Centre for Applied Social Sciences, University of Zimbabwe.</w:t>
      </w:r>
    </w:p>
    <w:p w14:paraId="0D0B427D"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eastAsia="en-GB"/>
        </w:rPr>
        <w:t>Spierenburg</w:t>
      </w:r>
      <w:proofErr w:type="spellEnd"/>
      <w:r w:rsidRPr="00C14D50">
        <w:rPr>
          <w:sz w:val="24"/>
          <w:szCs w:val="24"/>
          <w:lang w:eastAsia="en-GB"/>
        </w:rPr>
        <w:t xml:space="preserve">, M., C. Steenkamp and H. Wels (2008) “Enclosing the Local for the Global Commons: Community Land Rights in the Great Limpopo </w:t>
      </w:r>
      <w:proofErr w:type="spellStart"/>
      <w:r w:rsidRPr="00C14D50">
        <w:rPr>
          <w:sz w:val="24"/>
          <w:szCs w:val="24"/>
          <w:lang w:eastAsia="en-GB"/>
        </w:rPr>
        <w:t>Transfrontier</w:t>
      </w:r>
      <w:proofErr w:type="spellEnd"/>
      <w:r w:rsidRPr="00C14D50">
        <w:rPr>
          <w:sz w:val="24"/>
          <w:szCs w:val="24"/>
          <w:lang w:eastAsia="en-GB"/>
        </w:rPr>
        <w:t xml:space="preserve"> Conservation Area”, </w:t>
      </w:r>
      <w:r w:rsidRPr="00C14D50">
        <w:rPr>
          <w:i/>
          <w:iCs/>
          <w:sz w:val="24"/>
          <w:szCs w:val="24"/>
          <w:lang w:eastAsia="en-GB"/>
        </w:rPr>
        <w:t>Conservation and Society</w:t>
      </w:r>
      <w:r w:rsidRPr="00C14D50">
        <w:rPr>
          <w:iCs/>
          <w:sz w:val="24"/>
          <w:szCs w:val="24"/>
          <w:lang w:eastAsia="en-GB"/>
        </w:rPr>
        <w:t xml:space="preserve"> 6(1): </w:t>
      </w:r>
      <w:r w:rsidRPr="00C14D50">
        <w:rPr>
          <w:sz w:val="24"/>
          <w:szCs w:val="24"/>
          <w:lang w:eastAsia="en-GB"/>
        </w:rPr>
        <w:t>87–97.</w:t>
      </w:r>
    </w:p>
    <w:p w14:paraId="04026A8A"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 xml:space="preserve">Taylor, C. (1994) “The Politics of Recognition”, in A. Guttman (ed.) </w:t>
      </w:r>
      <w:r w:rsidRPr="00C14D50">
        <w:rPr>
          <w:i/>
          <w:iCs/>
          <w:sz w:val="24"/>
          <w:szCs w:val="24"/>
          <w:lang w:eastAsia="en-GB"/>
        </w:rPr>
        <w:t>Multiculturalism</w:t>
      </w:r>
      <w:r w:rsidRPr="00C14D50">
        <w:rPr>
          <w:iCs/>
          <w:sz w:val="24"/>
          <w:szCs w:val="24"/>
          <w:lang w:eastAsia="en-GB"/>
        </w:rPr>
        <w:t xml:space="preserve">. </w:t>
      </w:r>
      <w:r w:rsidRPr="00C14D50">
        <w:rPr>
          <w:sz w:val="24"/>
          <w:szCs w:val="24"/>
          <w:lang w:eastAsia="en-GB"/>
        </w:rPr>
        <w:t>Princeton, NJ: Princeton University Press.</w:t>
      </w:r>
    </w:p>
    <w:p w14:paraId="6BBDDB4A" w14:textId="77777777" w:rsidR="00771F89" w:rsidRPr="00C14D50" w:rsidRDefault="00771F89" w:rsidP="00C14D50">
      <w:pPr>
        <w:spacing w:line="360" w:lineRule="auto"/>
        <w:ind w:left="720" w:hanging="720"/>
        <w:rPr>
          <w:sz w:val="24"/>
          <w:szCs w:val="24"/>
          <w:lang w:eastAsia="en-GB"/>
        </w:rPr>
      </w:pPr>
      <w:r w:rsidRPr="00C14D50">
        <w:rPr>
          <w:sz w:val="24"/>
          <w:szCs w:val="24"/>
          <w:lang w:eastAsia="en-GB"/>
        </w:rPr>
        <w:t>Toni, F. (2007) “</w:t>
      </w:r>
      <w:r w:rsidRPr="00C14D50">
        <w:rPr>
          <w:iCs/>
          <w:sz w:val="24"/>
          <w:szCs w:val="24"/>
          <w:lang w:eastAsia="en-GB"/>
        </w:rPr>
        <w:t>Party Politics, Social Movements, and Local Democracy: Institutional Choices in the Brazilian Amazon”,</w:t>
      </w:r>
      <w:r w:rsidRPr="00C14D50">
        <w:rPr>
          <w:sz w:val="24"/>
          <w:szCs w:val="24"/>
          <w:lang w:eastAsia="en-GB"/>
        </w:rPr>
        <w:t xml:space="preserve"> Representation, Equity &amp; Environment Working </w:t>
      </w:r>
      <w:r w:rsidRPr="00C14D50">
        <w:rPr>
          <w:sz w:val="24"/>
          <w:szCs w:val="24"/>
          <w:lang w:eastAsia="en-GB"/>
        </w:rPr>
        <w:lastRenderedPageBreak/>
        <w:t>Paper Series, WP 32. Washington, DC: World Resources Institute. Available at &lt;</w:t>
      </w:r>
      <w:r w:rsidRPr="00C14D50">
        <w:rPr>
          <w:sz w:val="24"/>
          <w:szCs w:val="24"/>
        </w:rPr>
        <w:t>http://pdf.wri.org/wp32_ftoni.pdf&gt; (accessed 9 April 2013).</w:t>
      </w:r>
    </w:p>
    <w:p w14:paraId="6D9297B2" w14:textId="77777777" w:rsidR="00771F89" w:rsidRPr="00C14D50" w:rsidRDefault="00771F89" w:rsidP="00C14D50">
      <w:pPr>
        <w:spacing w:line="360" w:lineRule="auto"/>
        <w:ind w:left="720" w:hanging="720"/>
        <w:rPr>
          <w:sz w:val="24"/>
          <w:szCs w:val="24"/>
          <w:lang w:eastAsia="en-GB"/>
        </w:rPr>
      </w:pPr>
      <w:proofErr w:type="spellStart"/>
      <w:r w:rsidRPr="00C14D50">
        <w:rPr>
          <w:iCs/>
          <w:sz w:val="24"/>
          <w:szCs w:val="24"/>
          <w:lang w:eastAsia="en-GB"/>
        </w:rPr>
        <w:t>Törnquist</w:t>
      </w:r>
      <w:proofErr w:type="spellEnd"/>
      <w:r w:rsidRPr="00C14D50">
        <w:rPr>
          <w:iCs/>
          <w:sz w:val="24"/>
          <w:szCs w:val="24"/>
          <w:lang w:eastAsia="en-GB"/>
        </w:rPr>
        <w:t>, O. (2004)</w:t>
      </w:r>
      <w:r w:rsidRPr="00C14D50">
        <w:rPr>
          <w:i/>
          <w:iCs/>
          <w:sz w:val="24"/>
          <w:szCs w:val="24"/>
          <w:lang w:eastAsia="en-GB"/>
        </w:rPr>
        <w:t xml:space="preserve"> </w:t>
      </w:r>
      <w:r w:rsidRPr="00C14D50">
        <w:rPr>
          <w:iCs/>
          <w:sz w:val="24"/>
          <w:szCs w:val="24"/>
          <w:lang w:eastAsia="en-GB"/>
        </w:rPr>
        <w:t>“</w:t>
      </w:r>
      <w:r w:rsidRPr="00C14D50">
        <w:rPr>
          <w:bCs/>
          <w:sz w:val="24"/>
          <w:szCs w:val="24"/>
          <w:lang w:eastAsia="en-GB"/>
        </w:rPr>
        <w:t xml:space="preserve">The Political Deficit of Substantial Democratisation”, </w:t>
      </w:r>
      <w:r w:rsidRPr="00C14D50">
        <w:rPr>
          <w:sz w:val="24"/>
          <w:szCs w:val="24"/>
          <w:lang w:eastAsia="en-GB"/>
        </w:rPr>
        <w:t xml:space="preserve">in J. </w:t>
      </w:r>
      <w:proofErr w:type="spellStart"/>
      <w:r w:rsidRPr="00C14D50">
        <w:rPr>
          <w:sz w:val="24"/>
          <w:szCs w:val="24"/>
          <w:lang w:eastAsia="en-GB"/>
        </w:rPr>
        <w:t>Harriss</w:t>
      </w:r>
      <w:proofErr w:type="spellEnd"/>
      <w:r w:rsidRPr="00C14D50">
        <w:rPr>
          <w:sz w:val="24"/>
          <w:szCs w:val="24"/>
          <w:lang w:eastAsia="en-GB"/>
        </w:rPr>
        <w:t xml:space="preserve">, K. </w:t>
      </w:r>
      <w:proofErr w:type="spellStart"/>
      <w:r w:rsidRPr="00C14D50">
        <w:rPr>
          <w:sz w:val="24"/>
          <w:szCs w:val="24"/>
          <w:lang w:eastAsia="en-GB"/>
        </w:rPr>
        <w:t>Stokke</w:t>
      </w:r>
      <w:proofErr w:type="spellEnd"/>
      <w:r w:rsidRPr="00C14D50">
        <w:rPr>
          <w:sz w:val="24"/>
          <w:szCs w:val="24"/>
          <w:lang w:eastAsia="en-GB"/>
        </w:rPr>
        <w:t xml:space="preserve"> and O. </w:t>
      </w:r>
      <w:proofErr w:type="spellStart"/>
      <w:r w:rsidRPr="00C14D50">
        <w:rPr>
          <w:sz w:val="24"/>
          <w:szCs w:val="24"/>
          <w:lang w:eastAsia="en-GB"/>
        </w:rPr>
        <w:t>Törnquist</w:t>
      </w:r>
      <w:proofErr w:type="spellEnd"/>
      <w:r w:rsidRPr="00C14D50">
        <w:rPr>
          <w:sz w:val="24"/>
          <w:szCs w:val="24"/>
          <w:lang w:eastAsia="en-GB"/>
        </w:rPr>
        <w:t xml:space="preserve"> (eds) </w:t>
      </w:r>
      <w:r w:rsidRPr="00C14D50">
        <w:rPr>
          <w:i/>
          <w:sz w:val="24"/>
          <w:szCs w:val="24"/>
          <w:lang w:eastAsia="en-GB"/>
        </w:rPr>
        <w:t>Politicising Democracy: The New Local Politics of Democratisation</w:t>
      </w:r>
      <w:r w:rsidRPr="00C14D50">
        <w:rPr>
          <w:sz w:val="24"/>
          <w:szCs w:val="24"/>
          <w:lang w:eastAsia="en-GB"/>
        </w:rPr>
        <w:t>. New York: Palgrave Macmillan.</w:t>
      </w:r>
    </w:p>
    <w:p w14:paraId="2BD28492" w14:textId="77777777" w:rsidR="00771F89" w:rsidRPr="00C14D50" w:rsidRDefault="00771F89" w:rsidP="00C14D50">
      <w:pPr>
        <w:spacing w:line="360" w:lineRule="auto"/>
        <w:ind w:left="720" w:hanging="720"/>
        <w:rPr>
          <w:color w:val="000000"/>
          <w:sz w:val="24"/>
          <w:szCs w:val="24"/>
          <w:lang w:eastAsia="en-GB"/>
        </w:rPr>
      </w:pPr>
      <w:r w:rsidRPr="00C14D50">
        <w:rPr>
          <w:sz w:val="24"/>
          <w:szCs w:val="24"/>
          <w:lang w:eastAsia="en-GB"/>
        </w:rPr>
        <w:t>Tully, J. (2000) “Struggles over Recognition and</w:t>
      </w:r>
      <w:r w:rsidRPr="00C14D50">
        <w:rPr>
          <w:color w:val="000000"/>
          <w:sz w:val="24"/>
          <w:szCs w:val="24"/>
          <w:lang w:eastAsia="en-GB"/>
        </w:rPr>
        <w:t xml:space="preserve"> Distribution”, </w:t>
      </w:r>
      <w:r w:rsidRPr="00C14D50">
        <w:rPr>
          <w:i/>
          <w:color w:val="000000"/>
          <w:sz w:val="24"/>
          <w:szCs w:val="24"/>
          <w:lang w:eastAsia="en-GB"/>
        </w:rPr>
        <w:t>Constellations</w:t>
      </w:r>
      <w:r w:rsidRPr="00C14D50">
        <w:rPr>
          <w:color w:val="000000"/>
          <w:sz w:val="24"/>
          <w:szCs w:val="24"/>
          <w:lang w:eastAsia="en-GB"/>
        </w:rPr>
        <w:t xml:space="preserve"> 7(4): 469–482.</w:t>
      </w:r>
    </w:p>
    <w:p w14:paraId="4634A716" w14:textId="77777777" w:rsidR="00771F89" w:rsidRPr="00C14D50" w:rsidRDefault="00771F89" w:rsidP="00C14D50">
      <w:pPr>
        <w:spacing w:line="360" w:lineRule="auto"/>
        <w:ind w:left="720" w:hanging="720"/>
        <w:rPr>
          <w:sz w:val="24"/>
          <w:szCs w:val="24"/>
          <w:lang w:eastAsia="en-GB"/>
        </w:rPr>
      </w:pPr>
      <w:proofErr w:type="spellStart"/>
      <w:r w:rsidRPr="00C14D50">
        <w:rPr>
          <w:sz w:val="24"/>
          <w:szCs w:val="24"/>
          <w:lang w:eastAsia="en-GB"/>
        </w:rPr>
        <w:t>Xiaoyi</w:t>
      </w:r>
      <w:proofErr w:type="spellEnd"/>
      <w:r w:rsidRPr="00C14D50">
        <w:rPr>
          <w:sz w:val="24"/>
          <w:szCs w:val="24"/>
          <w:lang w:eastAsia="en-GB"/>
        </w:rPr>
        <w:t>, W. (2007) “Undermining Grassland Management through Centralized Environmental Policies in Inner Mongolia”, Representation, Equity &amp; Environment Working Paper Series, WP 29. Washington, DC: World Resources Institute.</w:t>
      </w:r>
    </w:p>
    <w:p w14:paraId="6CFACCDC" w14:textId="77777777" w:rsidR="00771F89" w:rsidRPr="00C14D50" w:rsidRDefault="00771F89" w:rsidP="00C14D50">
      <w:pPr>
        <w:spacing w:line="360" w:lineRule="auto"/>
        <w:ind w:left="720" w:hanging="720"/>
        <w:rPr>
          <w:b/>
          <w:sz w:val="24"/>
          <w:szCs w:val="24"/>
        </w:rPr>
      </w:pPr>
    </w:p>
    <w:p w14:paraId="6C91F3E7" w14:textId="77777777" w:rsidR="00771F89" w:rsidRPr="00C14D50" w:rsidRDefault="00771F89" w:rsidP="00C14D50">
      <w:pPr>
        <w:pStyle w:val="EndnoteText"/>
        <w:spacing w:line="360" w:lineRule="auto"/>
        <w:rPr>
          <w:rFonts w:ascii="Times New Roman" w:hAnsi="Times New Roman"/>
          <w:sz w:val="24"/>
          <w:szCs w:val="24"/>
        </w:rPr>
      </w:pPr>
    </w:p>
    <w:p w14:paraId="3646D8FC" w14:textId="77777777" w:rsidR="002E255B" w:rsidRPr="00C14D50" w:rsidRDefault="002E255B" w:rsidP="00C14D50">
      <w:pPr>
        <w:spacing w:line="360" w:lineRule="auto"/>
        <w:rPr>
          <w:sz w:val="24"/>
          <w:szCs w:val="24"/>
        </w:rPr>
      </w:pPr>
    </w:p>
    <w:sectPr w:rsidR="002E255B" w:rsidRPr="00C14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0244" w14:textId="77777777" w:rsidR="001822B3" w:rsidRDefault="001822B3" w:rsidP="00F354D2">
      <w:r>
        <w:separator/>
      </w:r>
    </w:p>
  </w:endnote>
  <w:endnote w:type="continuationSeparator" w:id="0">
    <w:p w14:paraId="3DDD7164" w14:textId="77777777" w:rsidR="001822B3" w:rsidRDefault="001822B3" w:rsidP="00F354D2">
      <w:r>
        <w:continuationSeparator/>
      </w:r>
    </w:p>
  </w:endnote>
  <w:endnote w:id="1">
    <w:p w14:paraId="60E5E139" w14:textId="2DED21BA" w:rsidR="00D720F5" w:rsidRDefault="00D720F5">
      <w:pPr>
        <w:pStyle w:val="EndnoteText"/>
      </w:pPr>
      <w:r>
        <w:rPr>
          <w:rStyle w:val="EndnoteReference"/>
        </w:rPr>
        <w:endnoteRef/>
      </w:r>
      <w:r>
        <w:t xml:space="preserve"> </w:t>
      </w:r>
      <w:r w:rsidRPr="00AA6FC4">
        <w:t xml:space="preserve">In contrast to Habermas’s (1991) focus on the </w:t>
      </w:r>
      <w:r w:rsidRPr="00AA6FC4">
        <w:rPr>
          <w:i/>
        </w:rPr>
        <w:t>discursive</w:t>
      </w:r>
      <w:r w:rsidRPr="00AA6FC4">
        <w:t xml:space="preserve"> domain of public interaction, I emphasize the </w:t>
      </w:r>
      <w:r w:rsidRPr="00AA6FC4">
        <w:rPr>
          <w:i/>
        </w:rPr>
        <w:t>material basis</w:t>
      </w:r>
      <w:r w:rsidRPr="00AA6FC4">
        <w:t xml:space="preserve"> of authority, that is, the powers (resources and domains of decision-making) over which citizens can interact and attempt to influence public decisions. This is why I call this space of democracy the “public domain.”</w:t>
      </w:r>
    </w:p>
  </w:endnote>
  <w:endnote w:id="2">
    <w:p w14:paraId="4EA858D9" w14:textId="407EA58F" w:rsidR="00D720F5" w:rsidRDefault="00D720F5">
      <w:pPr>
        <w:pStyle w:val="EndnoteText"/>
      </w:pPr>
      <w:r>
        <w:rPr>
          <w:rStyle w:val="EndnoteReference"/>
        </w:rPr>
        <w:endnoteRef/>
      </w:r>
      <w:r>
        <w:t xml:space="preserve"> </w:t>
      </w:r>
      <w:r w:rsidRPr="00AA6FC4">
        <w:t>Cases discussed in this chapter are from Ribot et al. (2008).</w:t>
      </w:r>
    </w:p>
  </w:endnote>
  <w:endnote w:id="3">
    <w:p w14:paraId="2F23504D" w14:textId="031D9463" w:rsidR="00D720F5" w:rsidRDefault="00D720F5">
      <w:pPr>
        <w:pStyle w:val="EndnoteText"/>
      </w:pPr>
      <w:r>
        <w:rPr>
          <w:rStyle w:val="EndnoteReference"/>
        </w:rPr>
        <w:endnoteRef/>
      </w:r>
      <w:r>
        <w:t xml:space="preserve"> </w:t>
      </w:r>
      <w:r w:rsidRPr="00AA6FC4">
        <w:t>I use the term “recognition” following Taylor (1994) and Fabian (1999). The term here is simplified to “acknowledgement”; however, I chose to use “recognition” owing to the usef</w:t>
      </w:r>
      <w:r w:rsidRPr="001118FE">
        <w:t>ul critiques of Taylor to be addressed later in this article.</w:t>
      </w:r>
    </w:p>
  </w:endnote>
  <w:endnote w:id="4">
    <w:p w14:paraId="6FCE02D9" w14:textId="5E1CBC45" w:rsidR="00D720F5" w:rsidRDefault="00D720F5">
      <w:pPr>
        <w:pStyle w:val="EndnoteText"/>
      </w:pPr>
      <w:r>
        <w:rPr>
          <w:rStyle w:val="EndnoteReference"/>
        </w:rPr>
        <w:endnoteRef/>
      </w:r>
      <w:r>
        <w:t xml:space="preserve"> </w:t>
      </w:r>
      <w:r w:rsidRPr="00AA6FC4">
        <w:t>Including instances where the authorities being recognized are created by those recognizing them.</w:t>
      </w:r>
    </w:p>
  </w:endnote>
  <w:endnote w:id="5">
    <w:p w14:paraId="5343E32F" w14:textId="6AF22E97" w:rsidR="00D720F5" w:rsidRDefault="00D720F5">
      <w:pPr>
        <w:pStyle w:val="EndnoteText"/>
      </w:pPr>
      <w:r>
        <w:rPr>
          <w:rStyle w:val="EndnoteReference"/>
        </w:rPr>
        <w:endnoteRef/>
      </w:r>
      <w:r>
        <w:t xml:space="preserve"> </w:t>
      </w:r>
      <w:r w:rsidRPr="00AA6FC4">
        <w:t>Despite the extreme difficulty in establishing links between institutional arrangements and development or ecological outcomes, a body of data</w:t>
      </w:r>
      <w:r w:rsidRPr="001118FE">
        <w:t xml:space="preserve"> is emerging (Conyers, 2002; Foster and Rosenzweig, 2004; Heller et al., 2007; Mansuri and Rao, 2003; Phelps et al., 2010; Ribot et al., 2010; World Bank, 2000).</w:t>
      </w:r>
    </w:p>
  </w:endnote>
  <w:endnote w:id="6">
    <w:p w14:paraId="2DFF6AC6" w14:textId="76AFA08E" w:rsidR="00D720F5" w:rsidRDefault="00D720F5">
      <w:pPr>
        <w:pStyle w:val="EndnoteText"/>
      </w:pPr>
      <w:r>
        <w:rPr>
          <w:rStyle w:val="EndnoteReference"/>
        </w:rPr>
        <w:endnoteRef/>
      </w:r>
      <w:r>
        <w:t xml:space="preserve"> </w:t>
      </w:r>
      <w:r w:rsidRPr="00AA6FC4">
        <w:t>Fung (2003) writes</w:t>
      </w:r>
      <w:r w:rsidRPr="00C04E1D" w:rsidDel="00BD1234">
        <w:t xml:space="preserve"> on</w:t>
      </w:r>
      <w:r w:rsidRPr="00C04E1D">
        <w:t xml:space="preserve"> the participation of civil society and of people within civil society in processes of decision-making. He does not, however, seem to view representative forms of government as sufficient or even necessary to the democratic process</w:t>
      </w:r>
      <w:r w:rsidRPr="001118FE" w:rsidDel="00BD1234">
        <w:t>es</w:t>
      </w:r>
      <w:r w:rsidRPr="00ED0FC6">
        <w:t>.</w:t>
      </w:r>
    </w:p>
  </w:endnote>
  <w:endnote w:id="7">
    <w:p w14:paraId="56A0FEFE" w14:textId="26C90C5B" w:rsidR="00D720F5" w:rsidRDefault="00D720F5">
      <w:pPr>
        <w:pStyle w:val="EndnoteText"/>
      </w:pPr>
      <w:r>
        <w:rPr>
          <w:rStyle w:val="EndnoteReference"/>
        </w:rPr>
        <w:endnoteRef/>
      </w:r>
      <w:r>
        <w:t xml:space="preserve"> </w:t>
      </w:r>
      <w:r w:rsidRPr="00AA6FC4">
        <w:t>This is not to deny the importance of competition between public and private agencies or l</w:t>
      </w:r>
      <w:r w:rsidRPr="00C04E1D">
        <w:t>ocal governments for efficient provision of public services (see Lankina</w:t>
      </w:r>
      <w:r w:rsidRPr="001118FE">
        <w:t>,</w:t>
      </w:r>
      <w:r w:rsidRPr="00ED0FC6">
        <w:t xml:space="preserve"> Hudalla et al., 2008).</w:t>
      </w:r>
    </w:p>
  </w:endnote>
  <w:endnote w:id="8">
    <w:p w14:paraId="24B3679C" w14:textId="6F7D045B" w:rsidR="00D720F5" w:rsidRDefault="00D720F5">
      <w:pPr>
        <w:pStyle w:val="EndnoteText"/>
      </w:pPr>
      <w:r>
        <w:rPr>
          <w:rStyle w:val="EndnoteReference"/>
        </w:rPr>
        <w:endnoteRef/>
      </w:r>
      <w:r>
        <w:t xml:space="preserve"> </w:t>
      </w:r>
      <w:r w:rsidRPr="00AA6FC4">
        <w:t>Engagement does not have to be invited. Resistance is also a form of engagement that is used to confront imposed authority. Resistance too is part of the pr</w:t>
      </w:r>
      <w:r w:rsidRPr="001118FE">
        <w:t>oduction of citizenship – the ability to influence governing authorities.</w:t>
      </w:r>
    </w:p>
  </w:endnote>
  <w:endnote w:id="9">
    <w:p w14:paraId="6652C759" w14:textId="30B31359" w:rsidR="00D720F5" w:rsidRDefault="00D720F5">
      <w:pPr>
        <w:pStyle w:val="EndnoteText"/>
      </w:pPr>
      <w:r>
        <w:rPr>
          <w:rStyle w:val="EndnoteReference"/>
        </w:rPr>
        <w:endnoteRef/>
      </w:r>
      <w:r>
        <w:t xml:space="preserve"> </w:t>
      </w:r>
      <w:r w:rsidRPr="00AA6FC4">
        <w:t>In a conflict with central authorities over management of a wildlife reserve, the Makuleke used national laws to establish a Communal Property Association to manage their land col</w:t>
      </w:r>
      <w:r w:rsidRPr="001118FE">
        <w:t>lectively. The association included the entire Makuleke community and elected its leadership. They elected their traditional chief as chairperson (Spierenburg et al., 2008).</w:t>
      </w:r>
    </w:p>
  </w:endnote>
  <w:endnote w:id="10">
    <w:p w14:paraId="6AEE03B4" w14:textId="7BC06959" w:rsidR="00D720F5" w:rsidRDefault="00D720F5">
      <w:pPr>
        <w:pStyle w:val="EndnoteText"/>
      </w:pPr>
      <w:r>
        <w:rPr>
          <w:rStyle w:val="EndnoteReference"/>
        </w:rPr>
        <w:endnoteRef/>
      </w:r>
      <w:r>
        <w:t xml:space="preserve"> </w:t>
      </w:r>
      <w:r w:rsidRPr="008E3663">
        <w:t>Indeed, all institutions are defined by the accountability relations in which they are embedded. I call an institution “democratic” if it is accountable to the population it serves. I call it “administrative” if it is accountable upwards to a higher authority. I call it “private” when an individual or institution is not accountable wi</w:t>
      </w:r>
      <w:r w:rsidRPr="001118FE">
        <w:t>th respect to a certain domain of action.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BCC82" w14:textId="77777777" w:rsidR="001822B3" w:rsidRDefault="001822B3" w:rsidP="00F354D2">
      <w:r>
        <w:separator/>
      </w:r>
    </w:p>
  </w:footnote>
  <w:footnote w:type="continuationSeparator" w:id="0">
    <w:p w14:paraId="1C855EA4" w14:textId="77777777" w:rsidR="001822B3" w:rsidRDefault="001822B3" w:rsidP="00F35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3227"/>
    <w:multiLevelType w:val="hybridMultilevel"/>
    <w:tmpl w:val="88268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C310E"/>
    <w:multiLevelType w:val="hybridMultilevel"/>
    <w:tmpl w:val="611C0C54"/>
    <w:lvl w:ilvl="0" w:tplc="7B04A81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6"/>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i-FI"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F89"/>
    <w:rsid w:val="001822B3"/>
    <w:rsid w:val="00226642"/>
    <w:rsid w:val="002E255B"/>
    <w:rsid w:val="002E4992"/>
    <w:rsid w:val="003460D6"/>
    <w:rsid w:val="0042446F"/>
    <w:rsid w:val="00755624"/>
    <w:rsid w:val="00771F89"/>
    <w:rsid w:val="00782668"/>
    <w:rsid w:val="007A4AE1"/>
    <w:rsid w:val="0081691A"/>
    <w:rsid w:val="00A901DA"/>
    <w:rsid w:val="00AC31E5"/>
    <w:rsid w:val="00B10D16"/>
    <w:rsid w:val="00B66B9B"/>
    <w:rsid w:val="00BF2D41"/>
    <w:rsid w:val="00C01B2B"/>
    <w:rsid w:val="00C14D50"/>
    <w:rsid w:val="00D720F5"/>
    <w:rsid w:val="00F127E0"/>
    <w:rsid w:val="00F3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6A5D"/>
  <w15:chartTrackingRefBased/>
  <w15:docId w15:val="{67BA2EF0-DCC2-4D47-A7C2-EADB0186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1F89"/>
    <w:pPr>
      <w:keepNext/>
      <w:keepLines/>
      <w:widowControl w:val="0"/>
      <w:spacing w:before="360" w:after="360"/>
      <w:ind w:firstLine="720"/>
      <w:jc w:val="center"/>
      <w:outlineLvl w:val="0"/>
    </w:pPr>
    <w:rPr>
      <w:rFonts w:ascii="Calibri" w:eastAsiaTheme="majorEastAsia" w:hAnsi="Calibri" w:cstheme="minorHAnsi"/>
      <w:b/>
      <w:sz w:val="28"/>
      <w:szCs w:val="24"/>
      <w:lang w:val="en-US"/>
    </w:rPr>
  </w:style>
  <w:style w:type="paragraph" w:styleId="Heading2">
    <w:name w:val="heading 2"/>
    <w:basedOn w:val="Normal"/>
    <w:next w:val="Normal"/>
    <w:link w:val="Heading2Char"/>
    <w:uiPriority w:val="9"/>
    <w:unhideWhenUsed/>
    <w:qFormat/>
    <w:rsid w:val="00771F89"/>
    <w:pPr>
      <w:keepNext/>
      <w:keepLines/>
      <w:widowControl w:val="0"/>
      <w:numPr>
        <w:numId w:val="1"/>
      </w:numPr>
      <w:spacing w:before="240" w:after="120"/>
      <w:outlineLvl w:val="1"/>
    </w:pPr>
    <w:rPr>
      <w:rFonts w:ascii="Calibri" w:eastAsiaTheme="majorEastAsia" w:hAnsi="Calibri" w:cstheme="minorHAnsi"/>
      <w:b/>
      <w:sz w:val="26"/>
      <w:szCs w:val="26"/>
      <w:lang w:val="en-US"/>
    </w:rPr>
  </w:style>
  <w:style w:type="paragraph" w:styleId="Heading3">
    <w:name w:val="heading 3"/>
    <w:basedOn w:val="Normal"/>
    <w:next w:val="Normal"/>
    <w:link w:val="Heading3Char"/>
    <w:uiPriority w:val="9"/>
    <w:unhideWhenUsed/>
    <w:qFormat/>
    <w:rsid w:val="00771F89"/>
    <w:pPr>
      <w:keepNext/>
      <w:keepLines/>
      <w:widowControl w:val="0"/>
      <w:spacing w:before="200"/>
      <w:ind w:firstLine="720"/>
      <w:jc w:val="center"/>
      <w:outlineLvl w:val="2"/>
    </w:pPr>
    <w:rPr>
      <w:rFonts w:asciiTheme="majorHAnsi" w:eastAsiaTheme="majorEastAsia" w:hAnsiTheme="majorHAnsi" w:cstheme="majorBidi"/>
      <w:b/>
      <w:bCs/>
      <w:sz w:val="24"/>
      <w:szCs w:val="24"/>
      <w:lang w:val="en-US"/>
    </w:rPr>
  </w:style>
  <w:style w:type="paragraph" w:styleId="Heading4">
    <w:name w:val="heading 4"/>
    <w:basedOn w:val="Normal"/>
    <w:next w:val="Normal"/>
    <w:link w:val="Heading4Char"/>
    <w:uiPriority w:val="9"/>
    <w:qFormat/>
    <w:rsid w:val="00771F89"/>
    <w:pPr>
      <w:keepNext/>
      <w:autoSpaceDE w:val="0"/>
      <w:autoSpaceDN w:val="0"/>
      <w:adjustRightInd w:val="0"/>
      <w:jc w:val="both"/>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F89"/>
    <w:rPr>
      <w:rFonts w:ascii="Calibri" w:eastAsiaTheme="majorEastAsia" w:hAnsi="Calibri" w:cstheme="minorHAnsi"/>
      <w:b/>
      <w:sz w:val="28"/>
      <w:szCs w:val="24"/>
      <w:lang w:val="en-US"/>
    </w:rPr>
  </w:style>
  <w:style w:type="character" w:customStyle="1" w:styleId="Heading2Char">
    <w:name w:val="Heading 2 Char"/>
    <w:basedOn w:val="DefaultParagraphFont"/>
    <w:link w:val="Heading2"/>
    <w:uiPriority w:val="9"/>
    <w:rsid w:val="00771F89"/>
    <w:rPr>
      <w:rFonts w:ascii="Calibri" w:eastAsiaTheme="majorEastAsia" w:hAnsi="Calibri" w:cstheme="minorHAnsi"/>
      <w:b/>
      <w:sz w:val="26"/>
      <w:szCs w:val="26"/>
      <w:lang w:val="en-US"/>
    </w:rPr>
  </w:style>
  <w:style w:type="character" w:customStyle="1" w:styleId="Heading3Char">
    <w:name w:val="Heading 3 Char"/>
    <w:basedOn w:val="DefaultParagraphFont"/>
    <w:link w:val="Heading3"/>
    <w:uiPriority w:val="9"/>
    <w:rsid w:val="00771F89"/>
    <w:rPr>
      <w:rFonts w:asciiTheme="majorHAnsi" w:eastAsiaTheme="majorEastAsia" w:hAnsiTheme="majorHAnsi" w:cstheme="majorBidi"/>
      <w:b/>
      <w:bCs/>
      <w:sz w:val="24"/>
      <w:szCs w:val="24"/>
      <w:lang w:val="en-US"/>
    </w:rPr>
  </w:style>
  <w:style w:type="character" w:customStyle="1" w:styleId="Heading4Char">
    <w:name w:val="Heading 4 Char"/>
    <w:basedOn w:val="DefaultParagraphFont"/>
    <w:link w:val="Heading4"/>
    <w:uiPriority w:val="9"/>
    <w:rsid w:val="00771F89"/>
    <w:rPr>
      <w:rFonts w:ascii="Times New Roman" w:eastAsia="Times New Roman" w:hAnsi="Times New Roman" w:cs="Times New Roman"/>
      <w:i/>
      <w:iCs/>
      <w:sz w:val="24"/>
      <w:szCs w:val="24"/>
    </w:rPr>
  </w:style>
  <w:style w:type="character" w:styleId="FootnoteReference">
    <w:name w:val="footnote reference"/>
    <w:aliases w:val="Footnote Reference Superscript,Footnote symbol,Footnote Reference/,richiamo note eggsi,Rimando nota a piè di pagina1,BVI fnr,Footnotes refss,Footnote Reference Number,Numbering - Footnote,nota de rodapé,Voetnootverwijzing,FR,ftref,fr"/>
    <w:uiPriority w:val="99"/>
    <w:unhideWhenUsed/>
    <w:qFormat/>
    <w:rsid w:val="00771F89"/>
    <w:rPr>
      <w:vertAlign w:val="superscript"/>
    </w:rPr>
  </w:style>
  <w:style w:type="character" w:styleId="Hyperlink">
    <w:name w:val="Hyperlink"/>
    <w:uiPriority w:val="99"/>
    <w:unhideWhenUsed/>
    <w:rsid w:val="00771F89"/>
    <w:rPr>
      <w:color w:val="0000FF"/>
      <w:u w:val="single"/>
    </w:rPr>
  </w:style>
  <w:style w:type="paragraph" w:styleId="EndnoteText">
    <w:name w:val="endnote text"/>
    <w:basedOn w:val="Normal"/>
    <w:link w:val="EndnoteTextChar"/>
    <w:unhideWhenUsed/>
    <w:qFormat/>
    <w:rsid w:val="00771F89"/>
    <w:pPr>
      <w:spacing w:after="200" w:line="276" w:lineRule="auto"/>
    </w:pPr>
    <w:rPr>
      <w:rFonts w:ascii="Calibri" w:hAnsi="Calibri"/>
      <w:lang w:val="en-US"/>
    </w:rPr>
  </w:style>
  <w:style w:type="character" w:customStyle="1" w:styleId="EndnoteTextChar">
    <w:name w:val="Endnote Text Char"/>
    <w:basedOn w:val="DefaultParagraphFont"/>
    <w:link w:val="EndnoteText"/>
    <w:rsid w:val="00771F89"/>
    <w:rPr>
      <w:rFonts w:ascii="Calibri" w:eastAsia="Times New Roman" w:hAnsi="Calibri" w:cs="Times New Roman"/>
      <w:sz w:val="20"/>
      <w:szCs w:val="20"/>
      <w:lang w:val="en-US"/>
    </w:rPr>
  </w:style>
  <w:style w:type="character" w:customStyle="1" w:styleId="st">
    <w:name w:val="st"/>
    <w:rsid w:val="00771F89"/>
  </w:style>
  <w:style w:type="character" w:customStyle="1" w:styleId="freearea0p8">
    <w:name w:val="free_area0_p8"/>
    <w:rsid w:val="00771F89"/>
    <w:rPr>
      <w:rFonts w:cs="Times New Roman"/>
    </w:rPr>
  </w:style>
  <w:style w:type="paragraph" w:styleId="FootnoteText">
    <w:name w:val="footnote text"/>
    <w:basedOn w:val="Normal"/>
    <w:link w:val="FootnoteTextChar"/>
    <w:uiPriority w:val="99"/>
    <w:semiHidden/>
    <w:unhideWhenUsed/>
    <w:rsid w:val="00F354D2"/>
  </w:style>
  <w:style w:type="character" w:customStyle="1" w:styleId="FootnoteTextChar">
    <w:name w:val="Footnote Text Char"/>
    <w:basedOn w:val="DefaultParagraphFont"/>
    <w:link w:val="FootnoteText"/>
    <w:uiPriority w:val="99"/>
    <w:semiHidden/>
    <w:rsid w:val="00F354D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720F5"/>
    <w:rPr>
      <w:vertAlign w:val="superscript"/>
    </w:rPr>
  </w:style>
  <w:style w:type="paragraph" w:styleId="BalloonText">
    <w:name w:val="Balloon Text"/>
    <w:basedOn w:val="Normal"/>
    <w:link w:val="BalloonTextChar"/>
    <w:uiPriority w:val="99"/>
    <w:semiHidden/>
    <w:unhideWhenUsed/>
    <w:rsid w:val="007A4AE1"/>
    <w:rPr>
      <w:sz w:val="18"/>
      <w:szCs w:val="18"/>
    </w:rPr>
  </w:style>
  <w:style w:type="character" w:customStyle="1" w:styleId="BalloonTextChar">
    <w:name w:val="Balloon Text Char"/>
    <w:basedOn w:val="DefaultParagraphFont"/>
    <w:link w:val="BalloonText"/>
    <w:uiPriority w:val="99"/>
    <w:semiHidden/>
    <w:rsid w:val="007A4AE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dpi.com/2071-1050/9/2/3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4103/cs.cs_16_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ep" TargetMode="External"/><Relationship Id="rId5" Type="http://schemas.openxmlformats.org/officeDocument/2006/relationships/numbering" Target="numbering.xml"/><Relationship Id="rId15" Type="http://schemas.openxmlformats.org/officeDocument/2006/relationships/hyperlink" Target="https://sdep.earth.illinois.edu/files/Ribot_2017_Choosing_Democracy.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ep.earth.illinois.edu/files/RFGI_Working_Papers/RFGI%20N%C2%B034_Ribot%20RFGI%20Handbook%20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B73654FD2D74C8F0C4982214F5DAC" ma:contentTypeVersion="13" ma:contentTypeDescription="Create a new document." ma:contentTypeScope="" ma:versionID="d35b01634b7cb1899b0f1876b42aa3fb">
  <xsd:schema xmlns:xsd="http://www.w3.org/2001/XMLSchema" xmlns:xs="http://www.w3.org/2001/XMLSchema" xmlns:p="http://schemas.microsoft.com/office/2006/metadata/properties" xmlns:ns3="b4518908-d5ff-40f4-b024-86638e8db23d" xmlns:ns4="bbb8ae36-f9cc-4214-9a72-b9e1ea84e062" targetNamespace="http://schemas.microsoft.com/office/2006/metadata/properties" ma:root="true" ma:fieldsID="f0fb4be267425dc083c2886322da8e6d" ns3:_="" ns4:_="">
    <xsd:import namespace="b4518908-d5ff-40f4-b024-86638e8db23d"/>
    <xsd:import namespace="bbb8ae36-f9cc-4214-9a72-b9e1ea84e0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8908-d5ff-40f4-b024-86638e8db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8ae36-f9cc-4214-9a72-b9e1ea84e0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7AFB-58D1-4C27-834C-DF03AC0ACFC3}">
  <ds:schemaRefs>
    <ds:schemaRef ds:uri="http://schemas.microsoft.com/sharepoint/v3/contenttype/forms"/>
  </ds:schemaRefs>
</ds:datastoreItem>
</file>

<file path=customXml/itemProps2.xml><?xml version="1.0" encoding="utf-8"?>
<ds:datastoreItem xmlns:ds="http://schemas.openxmlformats.org/officeDocument/2006/customXml" ds:itemID="{D9F47FE8-2C28-40AE-8393-7E04B9E08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8908-d5ff-40f4-b024-86638e8db23d"/>
    <ds:schemaRef ds:uri="bbb8ae36-f9cc-4214-9a72-b9e1ea84e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A40A4-D653-475E-9F6B-ECFB859DAF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8985ED-A353-450D-B7A4-EF06A2A1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11007</Words>
  <Characters>62743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Sulin</dc:creator>
  <cp:keywords/>
  <dc:description/>
  <cp:lastModifiedBy>Post Post Human</cp:lastModifiedBy>
  <cp:revision>2</cp:revision>
  <dcterms:created xsi:type="dcterms:W3CDTF">2021-05-26T15:53:00Z</dcterms:created>
  <dcterms:modified xsi:type="dcterms:W3CDTF">2021-05-26T15:53:00Z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0x010100285B73654FD2D74C8F0C4982214F5DAC</vt:lpwstr>
  </property>
</Properties>
</file>